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0066D">
      <w:pPr>
        <w:pStyle w:val="2"/>
        <w:keepNext w:val="0"/>
        <w:keepLines w:val="0"/>
        <w:widowControl/>
        <w:suppressLineNumbers w:val="0"/>
        <w:spacing w:before="0" w:beforeAutospacing="0" w:after="0" w:afterAutospacing="0" w:line="240" w:lineRule="auto"/>
        <w:ind w:left="0" w:right="0"/>
        <w:jc w:val="center"/>
        <w:rPr>
          <w:rFonts w:hint="eastAsia" w:asciiTheme="majorEastAsia" w:hAnsiTheme="majorEastAsia" w:eastAsiaTheme="majorEastAsia" w:cstheme="majorEastAsia"/>
          <w:b/>
          <w:bCs w:val="0"/>
          <w:i w:val="0"/>
          <w:strike w:val="0"/>
          <w:color w:val="auto"/>
          <w:sz w:val="44"/>
          <w:szCs w:val="32"/>
          <w:u w:val="none"/>
        </w:rPr>
      </w:pPr>
      <w:r>
        <w:rPr>
          <w:rFonts w:hint="eastAsia" w:asciiTheme="majorEastAsia" w:hAnsiTheme="majorEastAsia" w:eastAsiaTheme="majorEastAsia" w:cstheme="majorEastAsia"/>
          <w:b/>
          <w:bCs w:val="0"/>
          <w:i w:val="0"/>
          <w:strike w:val="0"/>
          <w:color w:val="auto"/>
          <w:sz w:val="44"/>
          <w:szCs w:val="32"/>
          <w:u w:val="none"/>
        </w:rPr>
        <w:t>建筑工程学院 2026 级新生认定类转专业实施方案</w:t>
      </w:r>
    </w:p>
    <w:p w14:paraId="26159C3D">
      <w:pPr>
        <w:pStyle w:val="3"/>
        <w:keepNext w:val="0"/>
        <w:keepLines w:val="0"/>
        <w:widowControl/>
        <w:suppressLineNumbers w:val="0"/>
        <w:spacing w:before="0" w:beforeAutospacing="0" w:after="0" w:afterAutospacing="0" w:line="240" w:lineRule="auto"/>
        <w:ind w:left="0" w:right="0"/>
        <w:jc w:val="both"/>
        <w:rPr>
          <w:rFonts w:eastAsia="宋体"/>
          <w:b/>
          <w:i w:val="0"/>
          <w:strike w:val="0"/>
          <w:color w:val="auto"/>
          <w:sz w:val="30"/>
          <w:szCs w:val="30"/>
          <w:u w:val="none"/>
        </w:rPr>
      </w:pPr>
      <w:r>
        <w:rPr>
          <w:rFonts w:eastAsia="宋体"/>
          <w:b/>
          <w:i w:val="0"/>
          <w:strike w:val="0"/>
          <w:color w:val="auto"/>
          <w:sz w:val="30"/>
          <w:szCs w:val="30"/>
          <w:u w:val="none"/>
        </w:rPr>
        <w:t>一、制定依据</w:t>
      </w:r>
    </w:p>
    <w:p w14:paraId="32100FCA">
      <w:pPr>
        <w:keepNext w:val="0"/>
        <w:keepLines w:val="0"/>
        <w:widowControl/>
        <w:suppressLineNumbers w:val="0"/>
        <w:spacing w:before="0" w:beforeAutospacing="0" w:after="120" w:afterAutospacing="0" w:line="360" w:lineRule="auto"/>
        <w:ind w:left="0" w:leftChars="0" w:right="0" w:firstLine="480" w:firstLineChars="200"/>
        <w:jc w:val="both"/>
        <w:rPr>
          <w:rFonts w:eastAsia="宋体"/>
          <w:b w:val="0"/>
          <w:i w:val="0"/>
          <w:strike w:val="0"/>
          <w:color w:val="auto"/>
          <w:sz w:val="24"/>
          <w:szCs w:val="24"/>
          <w:u w:val="none"/>
        </w:rPr>
      </w:pPr>
      <w:r>
        <w:rPr>
          <w:rFonts w:ascii="宋体" w:hAnsi="宋体" w:eastAsia="宋体" w:cs="宋体"/>
          <w:b w:val="0"/>
          <w:i w:val="0"/>
          <w:strike w:val="0"/>
          <w:color w:val="auto"/>
          <w:kern w:val="0"/>
          <w:sz w:val="24"/>
          <w:szCs w:val="24"/>
          <w:u w:val="none"/>
          <w:lang w:val="en-US" w:eastAsia="zh-CN" w:bidi="ar"/>
        </w:rPr>
        <w:t>为规范 2026 级全日制本科新生认定类转专业工作，保障转专业工作公平、公正、公开开展，充分尊重学生专业志向与个性化发展需求，依据《浙江水利水电学院本科生转专业管理办法（试行）》（浙水院办〔2026〕34 号），结合学院土木</w:t>
      </w:r>
      <w:r>
        <w:rPr>
          <w:rFonts w:hint="eastAsia" w:ascii="宋体" w:hAnsi="宋体" w:eastAsia="宋体" w:cs="宋体"/>
          <w:b w:val="0"/>
          <w:i w:val="0"/>
          <w:strike w:val="0"/>
          <w:color w:val="auto"/>
          <w:kern w:val="0"/>
          <w:sz w:val="24"/>
          <w:szCs w:val="24"/>
          <w:u w:val="none"/>
          <w:lang w:val="en-US" w:eastAsia="zh-CN" w:bidi="ar"/>
        </w:rPr>
        <w:t>工程</w:t>
      </w:r>
      <w:r>
        <w:rPr>
          <w:rFonts w:ascii="宋体" w:hAnsi="宋体" w:eastAsia="宋体" w:cs="宋体"/>
          <w:b w:val="0"/>
          <w:i w:val="0"/>
          <w:strike w:val="0"/>
          <w:color w:val="auto"/>
          <w:kern w:val="0"/>
          <w:sz w:val="24"/>
          <w:szCs w:val="24"/>
          <w:u w:val="none"/>
          <w:lang w:val="en-US" w:eastAsia="zh-CN" w:bidi="ar"/>
        </w:rPr>
        <w:t>、</w:t>
      </w:r>
      <w:r>
        <w:rPr>
          <w:rFonts w:hint="eastAsia" w:ascii="宋体" w:hAnsi="宋体" w:eastAsia="宋体" w:cs="宋体"/>
          <w:b w:val="0"/>
          <w:i w:val="0"/>
          <w:strike w:val="0"/>
          <w:color w:val="auto"/>
          <w:kern w:val="0"/>
          <w:sz w:val="24"/>
          <w:szCs w:val="24"/>
          <w:u w:val="none"/>
          <w:lang w:val="en-US" w:eastAsia="zh-CN" w:bidi="ar"/>
        </w:rPr>
        <w:t>工程造价、</w:t>
      </w:r>
      <w:r>
        <w:rPr>
          <w:rFonts w:ascii="宋体" w:hAnsi="宋体" w:eastAsia="宋体" w:cs="宋体"/>
          <w:b w:val="0"/>
          <w:i w:val="0"/>
          <w:strike w:val="0"/>
          <w:color w:val="auto"/>
          <w:kern w:val="0"/>
          <w:sz w:val="24"/>
          <w:szCs w:val="24"/>
          <w:u w:val="none"/>
          <w:lang w:val="en-US" w:eastAsia="zh-CN" w:bidi="ar"/>
        </w:rPr>
        <w:t>工程管理</w:t>
      </w:r>
      <w:r>
        <w:rPr>
          <w:rFonts w:hint="eastAsia" w:ascii="宋体" w:hAnsi="宋体" w:eastAsia="宋体" w:cs="宋体"/>
          <w:b w:val="0"/>
          <w:i w:val="0"/>
          <w:strike w:val="0"/>
          <w:color w:val="auto"/>
          <w:kern w:val="0"/>
          <w:sz w:val="24"/>
          <w:szCs w:val="24"/>
          <w:u w:val="none"/>
          <w:lang w:val="en-US" w:eastAsia="zh-CN" w:bidi="ar"/>
        </w:rPr>
        <w:t>等</w:t>
      </w:r>
      <w:r>
        <w:rPr>
          <w:rFonts w:ascii="宋体" w:hAnsi="宋体" w:eastAsia="宋体" w:cs="宋体"/>
          <w:b w:val="0"/>
          <w:i w:val="0"/>
          <w:strike w:val="0"/>
          <w:color w:val="auto"/>
          <w:kern w:val="0"/>
          <w:sz w:val="24"/>
          <w:szCs w:val="24"/>
          <w:u w:val="none"/>
          <w:lang w:val="en-US" w:eastAsia="zh-CN" w:bidi="ar"/>
        </w:rPr>
        <w:t>专业办学规模、师资、实训场地实际承载条件，特制定本方案。 本方案适用对象：学校 2026 级全日制四年制本科新生（新生认定类转专业）。</w:t>
      </w:r>
    </w:p>
    <w:p w14:paraId="13E2C017">
      <w:pPr>
        <w:pStyle w:val="3"/>
        <w:keepNext w:val="0"/>
        <w:keepLines w:val="0"/>
        <w:widowControl/>
        <w:suppressLineNumbers w:val="0"/>
        <w:spacing w:before="0" w:beforeAutospacing="0" w:after="0" w:afterAutospacing="0" w:line="240" w:lineRule="auto"/>
        <w:ind w:left="0" w:right="0"/>
        <w:jc w:val="both"/>
        <w:rPr>
          <w:rFonts w:hint="eastAsia" w:eastAsia="宋体"/>
          <w:b/>
          <w:i w:val="0"/>
          <w:strike w:val="0"/>
          <w:color w:val="auto"/>
          <w:sz w:val="30"/>
          <w:szCs w:val="30"/>
          <w:u w:val="none"/>
          <w:lang w:val="en-US" w:eastAsia="zh-CN"/>
        </w:rPr>
      </w:pPr>
      <w:r>
        <w:rPr>
          <w:rFonts w:hint="eastAsia" w:eastAsia="宋体"/>
          <w:b/>
          <w:i w:val="0"/>
          <w:strike w:val="0"/>
          <w:color w:val="auto"/>
          <w:sz w:val="30"/>
          <w:szCs w:val="30"/>
          <w:u w:val="none"/>
          <w:lang w:val="en-US" w:eastAsia="zh-CN"/>
        </w:rPr>
        <w:t>二、组织机构及工作职责</w:t>
      </w:r>
    </w:p>
    <w:p w14:paraId="0E91EE70">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28"/>
          <w:szCs w:val="24"/>
          <w:u w:val="none"/>
          <w:lang w:val="en-US" w:eastAsia="zh-CN" w:bidi="ar"/>
        </w:rPr>
      </w:pPr>
      <w:r>
        <w:rPr>
          <w:rFonts w:hint="eastAsia" w:ascii="宋体" w:hAnsi="宋体" w:eastAsia="宋体" w:cs="宋体"/>
          <w:b/>
          <w:bCs/>
          <w:i w:val="0"/>
          <w:strike w:val="0"/>
          <w:color w:val="auto"/>
          <w:kern w:val="0"/>
          <w:sz w:val="28"/>
          <w:szCs w:val="24"/>
          <w:u w:val="none"/>
          <w:lang w:val="en-US" w:eastAsia="zh-CN" w:bidi="ar"/>
        </w:rPr>
        <w:t>（一）转专业工作小组</w:t>
      </w:r>
    </w:p>
    <w:p w14:paraId="5381550F">
      <w:pPr>
        <w:keepNext w:val="0"/>
        <w:keepLines w:val="0"/>
        <w:widowControl/>
        <w:suppressLineNumbers w:val="0"/>
        <w:spacing w:before="0" w:beforeAutospacing="0" w:after="120" w:afterAutospacing="0" w:line="360" w:lineRule="auto"/>
        <w:ind w:left="0" w:leftChars="0" w:right="0" w:rightChars="0" w:firstLine="480" w:firstLineChars="200"/>
        <w:jc w:val="both"/>
        <w:rPr>
          <w:rFonts w:ascii="宋体" w:hAnsi="宋体" w:eastAsia="宋体" w:cs="宋体"/>
          <w:b w:val="0"/>
          <w:i w:val="0"/>
          <w:strike w:val="0"/>
          <w:color w:val="auto"/>
          <w:kern w:val="0"/>
          <w:sz w:val="24"/>
          <w:szCs w:val="24"/>
          <w:u w:val="none"/>
          <w:lang w:val="en-US" w:eastAsia="zh-CN" w:bidi="ar"/>
        </w:rPr>
      </w:pPr>
      <w:r>
        <w:rPr>
          <w:rFonts w:ascii="宋体" w:hAnsi="宋体" w:eastAsia="宋体" w:cs="宋体"/>
          <w:b w:val="0"/>
          <w:i w:val="0"/>
          <w:strike w:val="0"/>
          <w:color w:val="auto"/>
          <w:kern w:val="0"/>
          <w:sz w:val="24"/>
          <w:szCs w:val="24"/>
          <w:u w:val="none"/>
          <w:lang w:val="en-US" w:eastAsia="zh-CN" w:bidi="ar"/>
        </w:rPr>
        <w:t xml:space="preserve">组 长：陈芃 </w:t>
      </w:r>
    </w:p>
    <w:p w14:paraId="773FCF87">
      <w:pPr>
        <w:widowControl/>
        <w:spacing w:line="360" w:lineRule="auto"/>
        <w:ind w:firstLine="360" w:firstLineChars="150"/>
        <w:jc w:val="left"/>
        <w:rPr>
          <w:rFonts w:hint="default" w:ascii="宋体" w:hAnsi="宋体" w:cs="宋体"/>
          <w:kern w:val="0"/>
          <w:sz w:val="24"/>
          <w:highlight w:val="none"/>
          <w:lang w:val="en-US" w:eastAsia="zh-CN"/>
        </w:rPr>
      </w:pPr>
      <w:r>
        <w:rPr>
          <w:rFonts w:hint="eastAsia" w:ascii="宋体" w:hAnsi="宋体" w:cs="宋体"/>
          <w:kern w:val="0"/>
          <w:sz w:val="24"/>
          <w:highlight w:val="none"/>
        </w:rPr>
        <w:t>工作小组成员：</w:t>
      </w:r>
      <w:r>
        <w:rPr>
          <w:rFonts w:hint="eastAsia" w:ascii="宋体" w:hAnsi="宋体" w:cs="宋体"/>
          <w:kern w:val="0"/>
          <w:sz w:val="24"/>
          <w:highlight w:val="none"/>
          <w:lang w:val="en-US" w:eastAsia="zh-CN"/>
        </w:rPr>
        <w:t>彭卫兵、朱程</w:t>
      </w:r>
      <w:r>
        <w:rPr>
          <w:rFonts w:hint="eastAsia" w:ascii="宋体" w:hAnsi="宋体" w:cs="宋体"/>
          <w:kern w:val="0"/>
          <w:sz w:val="24"/>
          <w:highlight w:val="none"/>
        </w:rPr>
        <w:t>、</w:t>
      </w:r>
      <w:r>
        <w:rPr>
          <w:rFonts w:hint="eastAsia" w:ascii="宋体" w:hAnsi="宋体" w:cs="宋体"/>
          <w:kern w:val="0"/>
          <w:sz w:val="24"/>
          <w:highlight w:val="none"/>
          <w:lang w:val="en-US" w:eastAsia="zh-CN"/>
        </w:rPr>
        <w:t>徐静</w:t>
      </w:r>
      <w:r>
        <w:rPr>
          <w:rFonts w:hint="eastAsia" w:ascii="宋体" w:hAnsi="宋体" w:cs="宋体"/>
          <w:kern w:val="0"/>
          <w:sz w:val="24"/>
          <w:highlight w:val="none"/>
        </w:rPr>
        <w:t>、刘学应、刘志彤</w:t>
      </w:r>
      <w:r>
        <w:rPr>
          <w:rFonts w:hint="eastAsia" w:ascii="宋体" w:hAnsi="宋体" w:cs="宋体"/>
          <w:kern w:val="0"/>
          <w:sz w:val="24"/>
          <w:highlight w:val="none"/>
          <w:lang w:val="en-US" w:eastAsia="zh-CN"/>
        </w:rPr>
        <w:t>、李蓓</w:t>
      </w:r>
      <w:r>
        <w:rPr>
          <w:rFonts w:hint="eastAsia" w:ascii="宋体" w:hAnsi="宋体" w:cs="宋体"/>
          <w:kern w:val="0"/>
          <w:sz w:val="24"/>
          <w:highlight w:val="none"/>
        </w:rPr>
        <w:t>、</w:t>
      </w:r>
      <w:r>
        <w:rPr>
          <w:rFonts w:hint="eastAsia" w:ascii="宋体" w:hAnsi="宋体" w:cs="宋体"/>
          <w:kern w:val="0"/>
          <w:sz w:val="24"/>
          <w:highlight w:val="none"/>
          <w:lang w:val="en-US" w:eastAsia="zh-CN"/>
        </w:rPr>
        <w:t>卢国光、孙仲健、潘倩、陈敏志、杨冰君、姚茜文</w:t>
      </w:r>
    </w:p>
    <w:p w14:paraId="0D4AA483">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28"/>
          <w:szCs w:val="24"/>
          <w:u w:val="none"/>
          <w:lang w:val="en-US" w:eastAsia="zh-CN" w:bidi="ar"/>
        </w:rPr>
      </w:pPr>
      <w:r>
        <w:rPr>
          <w:rFonts w:hint="eastAsia" w:ascii="宋体" w:hAnsi="宋体" w:eastAsia="宋体" w:cs="宋体"/>
          <w:b/>
          <w:bCs/>
          <w:i w:val="0"/>
          <w:strike w:val="0"/>
          <w:color w:val="auto"/>
          <w:kern w:val="0"/>
          <w:sz w:val="28"/>
          <w:szCs w:val="24"/>
          <w:u w:val="none"/>
          <w:lang w:val="en-US" w:eastAsia="zh-CN" w:bidi="ar"/>
        </w:rPr>
        <w:t>（二）主要工作职责</w:t>
      </w:r>
    </w:p>
    <w:p w14:paraId="5B994B1D">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（1）</w:t>
      </w:r>
      <w:r>
        <w:rPr>
          <w:rFonts w:hint="eastAsia" w:asciiTheme="minorEastAsia" w:hAnsiTheme="minorEastAsia" w:eastAsiaTheme="minorEastAsia" w:cstheme="minorEastAsia"/>
          <w:b w:val="0"/>
          <w:i w:val="0"/>
          <w:strike w:val="0"/>
          <w:color w:val="auto"/>
          <w:kern w:val="0"/>
          <w:sz w:val="24"/>
          <w:szCs w:val="24"/>
          <w:u w:val="none"/>
          <w:lang w:val="en-US" w:eastAsia="zh-CN" w:bidi="ar"/>
        </w:rPr>
        <w:t>统筹本院 2026 级新生认定类转专业全流程工作，负责申请资格初审、考核组织、综合成绩核算、拟录取名单审核公示；</w:t>
      </w:r>
    </w:p>
    <w:p w14:paraId="6FCC4ABC">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（2）</w:t>
      </w:r>
      <w:r>
        <w:rPr>
          <w:rFonts w:hint="eastAsia" w:asciiTheme="minorEastAsia" w:hAnsiTheme="minorEastAsia" w:eastAsiaTheme="minorEastAsia" w:cstheme="minorEastAsia"/>
          <w:b w:val="0"/>
          <w:i w:val="0"/>
          <w:strike w:val="0"/>
          <w:color w:val="auto"/>
          <w:kern w:val="0"/>
          <w:sz w:val="24"/>
          <w:szCs w:val="24"/>
          <w:u w:val="none"/>
          <w:lang w:val="en-US" w:eastAsia="zh-CN" w:bidi="ar"/>
        </w:rPr>
        <w:t>受理新生关于转专业政策、专业培养、考核流程、材料提交等相关咨询；</w:t>
      </w:r>
    </w:p>
    <w:p w14:paraId="5F8A6798">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（3）</w:t>
      </w:r>
      <w:r>
        <w:rPr>
          <w:rFonts w:hint="eastAsia" w:asciiTheme="minorEastAsia" w:hAnsiTheme="minorEastAsia" w:eastAsiaTheme="minorEastAsia" w:cstheme="minorEastAsia"/>
          <w:b w:val="0"/>
          <w:i w:val="0"/>
          <w:strike w:val="0"/>
          <w:color w:val="auto"/>
          <w:kern w:val="0"/>
          <w:sz w:val="24"/>
          <w:szCs w:val="24"/>
          <w:u w:val="none"/>
          <w:lang w:val="en-US" w:eastAsia="zh-CN" w:bidi="ar"/>
        </w:rPr>
        <w:t>处理转专业考核、录取阶段学生异议与申诉；</w:t>
      </w:r>
    </w:p>
    <w:p w14:paraId="29296391">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（4）</w:t>
      </w:r>
      <w:r>
        <w:rPr>
          <w:rFonts w:hint="eastAsia" w:asciiTheme="minorEastAsia" w:hAnsiTheme="minorEastAsia" w:eastAsiaTheme="minorEastAsia" w:cstheme="minorEastAsia"/>
          <w:b w:val="0"/>
          <w:i w:val="0"/>
          <w:strike w:val="0"/>
          <w:color w:val="auto"/>
          <w:kern w:val="0"/>
          <w:sz w:val="24"/>
          <w:szCs w:val="24"/>
          <w:u w:val="none"/>
          <w:lang w:val="en-US" w:eastAsia="zh-CN" w:bidi="ar"/>
        </w:rPr>
        <w:t>严格按照教务处规定时限，上报转专业接收计划、考核成绩、拟录取学生全套材料；</w:t>
      </w:r>
    </w:p>
    <w:p w14:paraId="51BEC390">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0"/>
          <w:sz w:val="24"/>
          <w:szCs w:val="24"/>
          <w:u w:val="none"/>
          <w:lang w:val="en-US" w:eastAsia="zh-CN" w:bidi="ar"/>
        </w:rPr>
      </w:pPr>
      <w:r>
        <w:rPr>
          <w:rFonts w:hint="eastAsia" w:asciiTheme="minorEastAsia" w:hAnsiTheme="minorEastAsia" w:eastAsiaTheme="minorEastAsia" w:cstheme="minorEastAsia"/>
          <w:b w:val="0"/>
          <w:i w:val="0"/>
          <w:strike w:val="0"/>
          <w:color w:val="auto"/>
          <w:kern w:val="2"/>
          <w:sz w:val="24"/>
          <w:szCs w:val="24"/>
          <w:lang w:val="en-US" w:eastAsia="zh-CN" w:bidi="ar-SA"/>
        </w:rPr>
        <w:t>（5）</w:t>
      </w:r>
      <w:r>
        <w:rPr>
          <w:rFonts w:hint="eastAsia" w:asciiTheme="minorEastAsia" w:hAnsiTheme="minorEastAsia" w:eastAsiaTheme="minorEastAsia" w:cstheme="minorEastAsia"/>
          <w:b w:val="0"/>
          <w:i w:val="0"/>
          <w:strike w:val="0"/>
          <w:color w:val="auto"/>
          <w:kern w:val="0"/>
          <w:sz w:val="24"/>
          <w:szCs w:val="24"/>
          <w:u w:val="none"/>
          <w:lang w:val="en-US" w:eastAsia="zh-CN" w:bidi="ar"/>
        </w:rPr>
        <w:t>完成转入新生学分认定、培养方案变更、课程修读指导、学生证专业信息变更等后续教学管理工作。</w:t>
      </w:r>
    </w:p>
    <w:p w14:paraId="4A5ABB21">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0"/>
          <w:sz w:val="24"/>
          <w:szCs w:val="24"/>
          <w:u w:val="none"/>
          <w:lang w:val="en-US" w:eastAsia="zh-CN" w:bidi="ar"/>
        </w:rPr>
      </w:pPr>
    </w:p>
    <w:p w14:paraId="511B6D80">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0"/>
          <w:sz w:val="24"/>
          <w:szCs w:val="24"/>
          <w:u w:val="none"/>
          <w:lang w:val="en-US" w:eastAsia="zh-CN" w:bidi="ar"/>
        </w:rPr>
      </w:pPr>
    </w:p>
    <w:p w14:paraId="3A9E8585">
      <w:pPr>
        <w:pStyle w:val="3"/>
        <w:keepNext w:val="0"/>
        <w:keepLines w:val="0"/>
        <w:widowControl/>
        <w:suppressLineNumbers w:val="0"/>
        <w:spacing w:before="0" w:beforeAutospacing="0" w:after="0" w:afterAutospacing="0" w:line="240" w:lineRule="auto"/>
        <w:ind w:left="0" w:right="0"/>
        <w:jc w:val="both"/>
        <w:rPr>
          <w:rFonts w:hint="eastAsia" w:eastAsia="宋体"/>
          <w:b/>
          <w:i w:val="0"/>
          <w:strike w:val="0"/>
          <w:color w:val="auto"/>
          <w:sz w:val="30"/>
          <w:szCs w:val="30"/>
          <w:u w:val="none"/>
          <w:lang w:val="en-US" w:eastAsia="zh-CN"/>
        </w:rPr>
      </w:pPr>
      <w:r>
        <w:rPr>
          <w:rFonts w:hint="eastAsia" w:eastAsia="宋体"/>
          <w:b/>
          <w:i w:val="0"/>
          <w:strike w:val="0"/>
          <w:color w:val="auto"/>
          <w:sz w:val="30"/>
          <w:szCs w:val="30"/>
          <w:u w:val="none"/>
          <w:lang w:val="en-US" w:eastAsia="zh-CN"/>
        </w:rPr>
        <w:t>三、2026 级新生认定类转专业接收计划</w:t>
      </w:r>
    </w:p>
    <w:p w14:paraId="35B81CFB">
      <w:pPr>
        <w:keepNext w:val="0"/>
        <w:keepLines w:val="0"/>
        <w:widowControl/>
        <w:suppressLineNumbers w:val="0"/>
        <w:spacing w:before="0" w:beforeAutospacing="0" w:after="120" w:afterAutospacing="0" w:line="360" w:lineRule="auto"/>
        <w:ind w:left="0" w:leftChars="0" w:right="0" w:rightChars="0" w:firstLine="480" w:firstLineChars="200"/>
        <w:jc w:val="both"/>
        <w:rPr>
          <w:rFonts w:eastAsia="宋体" w:asciiTheme="minorHAnsi" w:hAnsiTheme="minorHAnsi" w:cstheme="minorBidi"/>
          <w:b w:val="0"/>
          <w:i w:val="0"/>
          <w:strike w:val="0"/>
          <w:color w:val="auto"/>
          <w:kern w:val="2"/>
          <w:sz w:val="24"/>
          <w:szCs w:val="24"/>
          <w:u w:val="none"/>
          <w:lang w:val="en-US" w:eastAsia="zh-CN" w:bidi="ar-SA"/>
        </w:rPr>
      </w:pPr>
      <w:r>
        <w:rPr>
          <w:rFonts w:ascii="宋体" w:hAnsi="宋体" w:eastAsia="宋体" w:cs="宋体"/>
          <w:b w:val="0"/>
          <w:i w:val="0"/>
          <w:strike w:val="0"/>
          <w:color w:val="auto"/>
          <w:kern w:val="0"/>
          <w:sz w:val="24"/>
          <w:szCs w:val="24"/>
          <w:u w:val="none"/>
          <w:lang w:val="en-US" w:eastAsia="zh-CN" w:bidi="ar"/>
        </w:rPr>
        <w:t>依据学校文件要求，各专业接收新生认定类转入学生人数原则上不低于本专业大一年级现有人数 5%，结合学院办学承载能力，确定各专业最大转入名额，具体计划如下：</w:t>
      </w:r>
    </w:p>
    <w:p w14:paraId="4573EE2D">
      <w:pPr>
        <w:keepNext w:val="0"/>
        <w:keepLines w:val="0"/>
        <w:widowControl/>
        <w:suppressLineNumbers w:val="0"/>
        <w:spacing w:before="0" w:beforeAutospacing="0" w:after="0" w:afterAutospacing="0" w:line="360" w:lineRule="atLeast"/>
        <w:ind w:left="0" w:right="0"/>
        <w:jc w:val="center"/>
        <w:rPr>
          <w:rFonts w:ascii="宋体" w:hAnsi="宋体" w:eastAsia="宋体" w:cs="宋体"/>
          <w:b w:val="0"/>
          <w:i w:val="0"/>
          <w:strike w:val="0"/>
          <w:color w:val="auto"/>
          <w:kern w:val="0"/>
          <w:sz w:val="24"/>
          <w:szCs w:val="24"/>
          <w:u w:val="none"/>
          <w:lang w:val="en-US" w:eastAsia="zh-CN" w:bidi="ar"/>
        </w:rPr>
      </w:pPr>
      <w:r>
        <w:rPr>
          <w:rFonts w:ascii="宋体" w:hAnsi="宋体" w:eastAsia="宋体" w:cs="宋体"/>
          <w:b w:val="0"/>
          <w:i w:val="0"/>
          <w:strike w:val="0"/>
          <w:color w:val="auto"/>
          <w:kern w:val="0"/>
          <w:sz w:val="24"/>
          <w:szCs w:val="24"/>
          <w:u w:val="none"/>
          <w:lang w:val="en-US" w:eastAsia="zh-CN" w:bidi="ar"/>
        </w:rPr>
        <w:t>表 1 建筑工程学院 2026 级新生认定类转专业接收计划表</w:t>
      </w:r>
    </w:p>
    <w:tbl>
      <w:tblPr>
        <w:tblStyle w:val="5"/>
        <w:tblW w:w="11275" w:type="dxa"/>
        <w:tblInd w:w="-1264" w:type="dxa"/>
        <w:tblLayout w:type="fixed"/>
        <w:tblCellMar>
          <w:top w:w="0" w:type="dxa"/>
          <w:left w:w="108" w:type="dxa"/>
          <w:bottom w:w="0" w:type="dxa"/>
          <w:right w:w="108" w:type="dxa"/>
        </w:tblCellMar>
      </w:tblPr>
      <w:tblGrid>
        <w:gridCol w:w="732"/>
        <w:gridCol w:w="1186"/>
        <w:gridCol w:w="1028"/>
        <w:gridCol w:w="839"/>
        <w:gridCol w:w="761"/>
        <w:gridCol w:w="812"/>
        <w:gridCol w:w="2403"/>
        <w:gridCol w:w="1659"/>
        <w:gridCol w:w="1855"/>
      </w:tblGrid>
      <w:tr w14:paraId="27271D7E">
        <w:tblPrEx>
          <w:tblCellMar>
            <w:top w:w="0" w:type="dxa"/>
            <w:left w:w="108" w:type="dxa"/>
            <w:bottom w:w="0" w:type="dxa"/>
            <w:right w:w="108" w:type="dxa"/>
          </w:tblCellMar>
        </w:tblPrEx>
        <w:trPr>
          <w:trHeight w:val="1371" w:hRule="atLeast"/>
        </w:trPr>
        <w:tc>
          <w:tcPr>
            <w:tcW w:w="732" w:type="dxa"/>
            <w:tcBorders>
              <w:top w:val="single" w:color="000000" w:sz="4" w:space="0"/>
              <w:left w:val="single" w:color="000000" w:sz="4" w:space="0"/>
              <w:bottom w:val="single" w:color="000000" w:sz="4" w:space="0"/>
              <w:right w:val="single" w:color="000000" w:sz="4" w:space="0"/>
            </w:tcBorders>
            <w:noWrap/>
            <w:vAlign w:val="center"/>
          </w:tcPr>
          <w:p w14:paraId="2204C1D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0F6257A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b/>
                <w:bCs/>
                <w:i w:val="0"/>
                <w:iCs w:val="0"/>
                <w:color w:val="000000"/>
                <w:kern w:val="0"/>
                <w:sz w:val="24"/>
                <w:szCs w:val="24"/>
                <w:u w:val="none"/>
                <w:lang w:val="en-US" w:eastAsia="zh-CN" w:bidi="ar"/>
              </w:rPr>
              <w:t>专业名称</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08EFB11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b/>
                <w:bCs/>
                <w:i w:val="0"/>
                <w:iCs w:val="0"/>
                <w:color w:val="000000"/>
                <w:kern w:val="0"/>
                <w:sz w:val="24"/>
                <w:szCs w:val="24"/>
                <w:u w:val="none"/>
                <w:lang w:val="en-US" w:eastAsia="zh-CN" w:bidi="ar"/>
              </w:rPr>
              <w:t>年级</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028CF1A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b/>
                <w:bCs/>
                <w:i w:val="0"/>
                <w:iCs w:val="0"/>
                <w:color w:val="000000"/>
                <w:kern w:val="0"/>
                <w:sz w:val="24"/>
                <w:szCs w:val="24"/>
                <w:u w:val="none"/>
                <w:lang w:val="en-US" w:eastAsia="zh-CN" w:bidi="ar"/>
              </w:rPr>
              <w:t>现有班级数</w:t>
            </w:r>
          </w:p>
        </w:tc>
        <w:tc>
          <w:tcPr>
            <w:tcW w:w="761" w:type="dxa"/>
            <w:tcBorders>
              <w:top w:val="single" w:color="000000" w:sz="4" w:space="0"/>
              <w:left w:val="single" w:color="000000" w:sz="4" w:space="0"/>
              <w:bottom w:val="single" w:color="000000" w:sz="4" w:space="0"/>
              <w:right w:val="single" w:color="000000" w:sz="4" w:space="0"/>
            </w:tcBorders>
            <w:noWrap w:val="0"/>
            <w:vAlign w:val="center"/>
          </w:tcPr>
          <w:p w14:paraId="5C679F5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b/>
                <w:bCs/>
                <w:i w:val="0"/>
                <w:iCs w:val="0"/>
                <w:color w:val="000000"/>
                <w:kern w:val="0"/>
                <w:sz w:val="24"/>
                <w:szCs w:val="24"/>
                <w:u w:val="none"/>
                <w:lang w:val="en-US" w:eastAsia="zh-CN" w:bidi="ar"/>
              </w:rPr>
              <w:t>现有学生数</w:t>
            </w:r>
          </w:p>
        </w:tc>
        <w:tc>
          <w:tcPr>
            <w:tcW w:w="812" w:type="dxa"/>
            <w:tcBorders>
              <w:top w:val="single" w:color="000000" w:sz="4" w:space="0"/>
              <w:left w:val="single" w:color="000000" w:sz="4" w:space="0"/>
              <w:bottom w:val="single" w:color="000000" w:sz="4" w:space="0"/>
              <w:right w:val="single" w:color="000000" w:sz="4" w:space="0"/>
            </w:tcBorders>
            <w:noWrap/>
            <w:vAlign w:val="center"/>
          </w:tcPr>
          <w:p w14:paraId="59603F7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b/>
                <w:bCs/>
                <w:i w:val="0"/>
                <w:iCs w:val="0"/>
                <w:color w:val="000000"/>
                <w:kern w:val="0"/>
                <w:sz w:val="24"/>
                <w:szCs w:val="24"/>
                <w:u w:val="none"/>
                <w:lang w:val="en-US" w:eastAsia="zh-CN" w:bidi="ar"/>
              </w:rPr>
              <w:t>计划转入学生数</w:t>
            </w:r>
          </w:p>
        </w:tc>
        <w:tc>
          <w:tcPr>
            <w:tcW w:w="2403" w:type="dxa"/>
            <w:tcBorders>
              <w:top w:val="single" w:color="000000" w:sz="4" w:space="0"/>
              <w:left w:val="single" w:color="000000" w:sz="4" w:space="0"/>
              <w:bottom w:val="single" w:color="000000" w:sz="4" w:space="0"/>
              <w:right w:val="single" w:color="000000" w:sz="4" w:space="0"/>
            </w:tcBorders>
            <w:noWrap w:val="0"/>
            <w:vAlign w:val="center"/>
          </w:tcPr>
          <w:p w14:paraId="1110B2F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b/>
                <w:bCs/>
                <w:i w:val="0"/>
                <w:iCs w:val="0"/>
                <w:color w:val="000000"/>
                <w:kern w:val="0"/>
                <w:sz w:val="24"/>
                <w:szCs w:val="24"/>
                <w:u w:val="none"/>
                <w:lang w:val="en-US" w:eastAsia="zh-CN" w:bidi="ar"/>
              </w:rPr>
              <w:t>转入条件</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144A38D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b/>
                <w:bCs/>
                <w:i w:val="0"/>
                <w:iCs w:val="0"/>
                <w:color w:val="000000"/>
                <w:kern w:val="0"/>
                <w:sz w:val="24"/>
                <w:szCs w:val="24"/>
                <w:u w:val="none"/>
                <w:lang w:val="en-US" w:eastAsia="zh-CN" w:bidi="ar"/>
              </w:rPr>
              <w:t>考核方式</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2F7728D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b/>
                <w:bCs/>
                <w:i w:val="0"/>
                <w:iCs w:val="0"/>
                <w:color w:val="000000"/>
                <w:kern w:val="0"/>
                <w:sz w:val="24"/>
                <w:szCs w:val="24"/>
                <w:u w:val="none"/>
                <w:lang w:val="en-US" w:eastAsia="zh-CN" w:bidi="ar"/>
              </w:rPr>
              <w:t>考核时间</w:t>
            </w:r>
          </w:p>
        </w:tc>
      </w:tr>
      <w:tr w14:paraId="2103DAB3">
        <w:tblPrEx>
          <w:tblCellMar>
            <w:top w:w="0" w:type="dxa"/>
            <w:left w:w="108" w:type="dxa"/>
            <w:bottom w:w="0" w:type="dxa"/>
            <w:right w:w="108" w:type="dxa"/>
          </w:tblCellMar>
        </w:tblPrEx>
        <w:trPr>
          <w:trHeight w:val="818" w:hRule="atLeast"/>
        </w:trPr>
        <w:tc>
          <w:tcPr>
            <w:tcW w:w="732" w:type="dxa"/>
            <w:tcBorders>
              <w:top w:val="single" w:color="000000" w:sz="4" w:space="0"/>
              <w:left w:val="single" w:color="000000" w:sz="4" w:space="0"/>
              <w:bottom w:val="single" w:color="000000" w:sz="4" w:space="0"/>
              <w:right w:val="single" w:color="000000" w:sz="4" w:space="0"/>
            </w:tcBorders>
            <w:noWrap/>
            <w:vAlign w:val="center"/>
          </w:tcPr>
          <w:p w14:paraId="2D84C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78923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土木工程</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30FA5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2026级</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19BAB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761" w:type="dxa"/>
            <w:tcBorders>
              <w:top w:val="single" w:color="000000" w:sz="4" w:space="0"/>
              <w:left w:val="single" w:color="000000" w:sz="4" w:space="0"/>
              <w:bottom w:val="single" w:color="000000" w:sz="4" w:space="0"/>
              <w:right w:val="single" w:color="000000" w:sz="4" w:space="0"/>
            </w:tcBorders>
            <w:noWrap w:val="0"/>
            <w:vAlign w:val="center"/>
          </w:tcPr>
          <w:p w14:paraId="08728EC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50</w:t>
            </w:r>
          </w:p>
        </w:tc>
        <w:tc>
          <w:tcPr>
            <w:tcW w:w="812" w:type="dxa"/>
            <w:tcBorders>
              <w:top w:val="single" w:color="000000" w:sz="4" w:space="0"/>
              <w:left w:val="single" w:color="000000" w:sz="4" w:space="0"/>
              <w:bottom w:val="single" w:color="000000" w:sz="4" w:space="0"/>
              <w:right w:val="single" w:color="000000" w:sz="4" w:space="0"/>
            </w:tcBorders>
            <w:noWrap/>
            <w:vAlign w:val="center"/>
          </w:tcPr>
          <w:p w14:paraId="478C1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2403" w:type="dxa"/>
            <w:tcBorders>
              <w:top w:val="single" w:color="000000" w:sz="4" w:space="0"/>
              <w:left w:val="single" w:color="000000" w:sz="4" w:space="0"/>
              <w:bottom w:val="single" w:color="000000" w:sz="4" w:space="0"/>
              <w:right w:val="single" w:color="000000" w:sz="4" w:space="0"/>
            </w:tcBorders>
            <w:noWrap w:val="0"/>
            <w:vAlign w:val="center"/>
          </w:tcPr>
          <w:p w14:paraId="27356E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符合学校转专业条件</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3CF4B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面试考核</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2A3CAA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待定，另行通知</w:t>
            </w:r>
          </w:p>
        </w:tc>
      </w:tr>
      <w:tr w14:paraId="6D36828B">
        <w:tblPrEx>
          <w:tblCellMar>
            <w:top w:w="0" w:type="dxa"/>
            <w:left w:w="108" w:type="dxa"/>
            <w:bottom w:w="0" w:type="dxa"/>
            <w:right w:w="108" w:type="dxa"/>
          </w:tblCellMar>
        </w:tblPrEx>
        <w:trPr>
          <w:trHeight w:val="818" w:hRule="atLeast"/>
        </w:trPr>
        <w:tc>
          <w:tcPr>
            <w:tcW w:w="732" w:type="dxa"/>
            <w:tcBorders>
              <w:top w:val="single" w:color="000000" w:sz="4" w:space="0"/>
              <w:left w:val="single" w:color="000000" w:sz="4" w:space="0"/>
              <w:bottom w:val="single" w:color="000000" w:sz="4" w:space="0"/>
              <w:right w:val="single" w:color="000000" w:sz="4" w:space="0"/>
            </w:tcBorders>
            <w:noWrap/>
            <w:vAlign w:val="center"/>
          </w:tcPr>
          <w:p w14:paraId="12B0124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3A43CF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工程造价</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11BE21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2026级</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2A1173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61" w:type="dxa"/>
            <w:tcBorders>
              <w:top w:val="single" w:color="000000" w:sz="4" w:space="0"/>
              <w:left w:val="single" w:color="000000" w:sz="4" w:space="0"/>
              <w:bottom w:val="single" w:color="000000" w:sz="4" w:space="0"/>
              <w:right w:val="single" w:color="000000" w:sz="4" w:space="0"/>
            </w:tcBorders>
            <w:noWrap w:val="0"/>
            <w:vAlign w:val="center"/>
          </w:tcPr>
          <w:p w14:paraId="03F30D5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w:t>
            </w:r>
          </w:p>
        </w:tc>
        <w:tc>
          <w:tcPr>
            <w:tcW w:w="812" w:type="dxa"/>
            <w:tcBorders>
              <w:top w:val="single" w:color="000000" w:sz="4" w:space="0"/>
              <w:left w:val="single" w:color="000000" w:sz="4" w:space="0"/>
              <w:bottom w:val="single" w:color="000000" w:sz="4" w:space="0"/>
              <w:right w:val="single" w:color="000000" w:sz="4" w:space="0"/>
            </w:tcBorders>
            <w:noWrap/>
            <w:vAlign w:val="center"/>
          </w:tcPr>
          <w:p w14:paraId="044937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403" w:type="dxa"/>
            <w:tcBorders>
              <w:top w:val="single" w:color="000000" w:sz="4" w:space="0"/>
              <w:left w:val="single" w:color="000000" w:sz="4" w:space="0"/>
              <w:bottom w:val="single" w:color="000000" w:sz="4" w:space="0"/>
              <w:right w:val="single" w:color="000000" w:sz="4" w:space="0"/>
            </w:tcBorders>
            <w:noWrap w:val="0"/>
            <w:vAlign w:val="center"/>
          </w:tcPr>
          <w:p w14:paraId="5F5408F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符合学校转专业条件</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5A5B91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面试考核</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6113CD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待定，另行通知</w:t>
            </w:r>
          </w:p>
        </w:tc>
      </w:tr>
      <w:tr w14:paraId="2745CD25">
        <w:tblPrEx>
          <w:tblCellMar>
            <w:top w:w="0" w:type="dxa"/>
            <w:left w:w="108" w:type="dxa"/>
            <w:bottom w:w="0" w:type="dxa"/>
            <w:right w:w="108" w:type="dxa"/>
          </w:tblCellMar>
        </w:tblPrEx>
        <w:trPr>
          <w:trHeight w:val="818" w:hRule="atLeast"/>
        </w:trPr>
        <w:tc>
          <w:tcPr>
            <w:tcW w:w="732" w:type="dxa"/>
            <w:tcBorders>
              <w:top w:val="single" w:color="000000" w:sz="4" w:space="0"/>
              <w:left w:val="single" w:color="000000" w:sz="4" w:space="0"/>
              <w:bottom w:val="single" w:color="000000" w:sz="4" w:space="0"/>
              <w:right w:val="single" w:color="000000" w:sz="4" w:space="0"/>
            </w:tcBorders>
            <w:noWrap/>
            <w:vAlign w:val="center"/>
          </w:tcPr>
          <w:p w14:paraId="0BFF34F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7BA3C0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工程管理</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1CC21E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2026级</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3B6072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61" w:type="dxa"/>
            <w:tcBorders>
              <w:top w:val="single" w:color="000000" w:sz="4" w:space="0"/>
              <w:left w:val="single" w:color="000000" w:sz="4" w:space="0"/>
              <w:bottom w:val="single" w:color="000000" w:sz="4" w:space="0"/>
              <w:right w:val="single" w:color="000000" w:sz="4" w:space="0"/>
            </w:tcBorders>
            <w:noWrap w:val="0"/>
            <w:vAlign w:val="center"/>
          </w:tcPr>
          <w:p w14:paraId="275B3C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w:t>
            </w:r>
          </w:p>
        </w:tc>
        <w:tc>
          <w:tcPr>
            <w:tcW w:w="812" w:type="dxa"/>
            <w:tcBorders>
              <w:top w:val="single" w:color="000000" w:sz="4" w:space="0"/>
              <w:left w:val="single" w:color="000000" w:sz="4" w:space="0"/>
              <w:bottom w:val="single" w:color="000000" w:sz="4" w:space="0"/>
              <w:right w:val="single" w:color="000000" w:sz="4" w:space="0"/>
            </w:tcBorders>
            <w:noWrap/>
            <w:vAlign w:val="center"/>
          </w:tcPr>
          <w:p w14:paraId="3AABD1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403" w:type="dxa"/>
            <w:tcBorders>
              <w:top w:val="single" w:color="000000" w:sz="4" w:space="0"/>
              <w:left w:val="single" w:color="000000" w:sz="4" w:space="0"/>
              <w:bottom w:val="single" w:color="000000" w:sz="4" w:space="0"/>
              <w:right w:val="single" w:color="000000" w:sz="4" w:space="0"/>
            </w:tcBorders>
            <w:noWrap w:val="0"/>
            <w:vAlign w:val="center"/>
          </w:tcPr>
          <w:p w14:paraId="4E81C2A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符合学校转专业条件</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4E6349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面试考核</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222328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待定，另行通知</w:t>
            </w:r>
          </w:p>
        </w:tc>
      </w:tr>
      <w:tr w14:paraId="5A56DFA5">
        <w:tblPrEx>
          <w:tblCellMar>
            <w:top w:w="0" w:type="dxa"/>
            <w:left w:w="108" w:type="dxa"/>
            <w:bottom w:w="0" w:type="dxa"/>
            <w:right w:w="108" w:type="dxa"/>
          </w:tblCellMar>
        </w:tblPrEx>
        <w:trPr>
          <w:trHeight w:val="1177" w:hRule="atLeast"/>
        </w:trPr>
        <w:tc>
          <w:tcPr>
            <w:tcW w:w="732" w:type="dxa"/>
            <w:tcBorders>
              <w:top w:val="single" w:color="000000" w:sz="4" w:space="0"/>
              <w:left w:val="single" w:color="000000" w:sz="4" w:space="0"/>
              <w:bottom w:val="single" w:color="000000" w:sz="4" w:space="0"/>
              <w:right w:val="single" w:color="000000" w:sz="4" w:space="0"/>
            </w:tcBorders>
            <w:noWrap/>
            <w:vAlign w:val="center"/>
          </w:tcPr>
          <w:p w14:paraId="4AA8A14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523EBF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建筑环境与能源应用工程</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58FD1C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2026级</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0457B7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61" w:type="dxa"/>
            <w:tcBorders>
              <w:top w:val="single" w:color="000000" w:sz="4" w:space="0"/>
              <w:left w:val="single" w:color="000000" w:sz="4" w:space="0"/>
              <w:bottom w:val="single" w:color="000000" w:sz="4" w:space="0"/>
              <w:right w:val="single" w:color="000000" w:sz="4" w:space="0"/>
            </w:tcBorders>
            <w:noWrap w:val="0"/>
            <w:vAlign w:val="center"/>
          </w:tcPr>
          <w:p w14:paraId="0ED599C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65</w:t>
            </w:r>
          </w:p>
        </w:tc>
        <w:tc>
          <w:tcPr>
            <w:tcW w:w="812" w:type="dxa"/>
            <w:tcBorders>
              <w:top w:val="single" w:color="000000" w:sz="4" w:space="0"/>
              <w:left w:val="single" w:color="000000" w:sz="4" w:space="0"/>
              <w:bottom w:val="single" w:color="000000" w:sz="4" w:space="0"/>
              <w:right w:val="single" w:color="000000" w:sz="4" w:space="0"/>
            </w:tcBorders>
            <w:noWrap/>
            <w:vAlign w:val="center"/>
          </w:tcPr>
          <w:p w14:paraId="0984D3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403" w:type="dxa"/>
            <w:tcBorders>
              <w:top w:val="single" w:color="000000" w:sz="4" w:space="0"/>
              <w:left w:val="single" w:color="000000" w:sz="4" w:space="0"/>
              <w:bottom w:val="single" w:color="000000" w:sz="4" w:space="0"/>
              <w:right w:val="single" w:color="000000" w:sz="4" w:space="0"/>
            </w:tcBorders>
            <w:noWrap w:val="0"/>
            <w:vAlign w:val="center"/>
          </w:tcPr>
          <w:p w14:paraId="36FFB2B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符合学校转专业条件</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5983C18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面试考核</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52EA7D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待定，另行通知</w:t>
            </w:r>
          </w:p>
        </w:tc>
      </w:tr>
      <w:tr w14:paraId="14FC9C67">
        <w:tblPrEx>
          <w:tblCellMar>
            <w:top w:w="0" w:type="dxa"/>
            <w:left w:w="108" w:type="dxa"/>
            <w:bottom w:w="0" w:type="dxa"/>
            <w:right w:w="108" w:type="dxa"/>
          </w:tblCellMar>
        </w:tblPrEx>
        <w:trPr>
          <w:trHeight w:val="885" w:hRule="atLeast"/>
        </w:trPr>
        <w:tc>
          <w:tcPr>
            <w:tcW w:w="732" w:type="dxa"/>
            <w:tcBorders>
              <w:top w:val="single" w:color="000000" w:sz="4" w:space="0"/>
              <w:left w:val="single" w:color="000000" w:sz="4" w:space="0"/>
              <w:bottom w:val="single" w:color="000000" w:sz="4" w:space="0"/>
              <w:right w:val="single" w:color="000000" w:sz="4" w:space="0"/>
            </w:tcBorders>
            <w:noWrap/>
            <w:vAlign w:val="center"/>
          </w:tcPr>
          <w:p w14:paraId="5BC4A0E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459DD3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道路桥梁与渡河工程</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4B5489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2026级</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78D5B40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61" w:type="dxa"/>
            <w:tcBorders>
              <w:top w:val="single" w:color="000000" w:sz="4" w:space="0"/>
              <w:left w:val="single" w:color="000000" w:sz="4" w:space="0"/>
              <w:bottom w:val="single" w:color="000000" w:sz="4" w:space="0"/>
              <w:right w:val="single" w:color="000000" w:sz="4" w:space="0"/>
            </w:tcBorders>
            <w:noWrap w:val="0"/>
            <w:vAlign w:val="center"/>
          </w:tcPr>
          <w:p w14:paraId="218ACD7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812" w:type="dxa"/>
            <w:tcBorders>
              <w:top w:val="single" w:color="000000" w:sz="4" w:space="0"/>
              <w:left w:val="single" w:color="000000" w:sz="4" w:space="0"/>
              <w:bottom w:val="single" w:color="000000" w:sz="4" w:space="0"/>
              <w:right w:val="single" w:color="000000" w:sz="4" w:space="0"/>
            </w:tcBorders>
            <w:noWrap/>
            <w:vAlign w:val="center"/>
          </w:tcPr>
          <w:p w14:paraId="32506E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403" w:type="dxa"/>
            <w:tcBorders>
              <w:top w:val="single" w:color="000000" w:sz="4" w:space="0"/>
              <w:left w:val="single" w:color="000000" w:sz="4" w:space="0"/>
              <w:bottom w:val="single" w:color="000000" w:sz="4" w:space="0"/>
              <w:right w:val="single" w:color="000000" w:sz="4" w:space="0"/>
            </w:tcBorders>
            <w:noWrap w:val="0"/>
            <w:vAlign w:val="center"/>
          </w:tcPr>
          <w:p w14:paraId="1C5DBC4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符合学校转专业条件</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15C021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面试考核</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489C75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待定，另行通知</w:t>
            </w:r>
          </w:p>
        </w:tc>
      </w:tr>
      <w:tr w14:paraId="614908F2">
        <w:tblPrEx>
          <w:tblCellMar>
            <w:top w:w="0" w:type="dxa"/>
            <w:left w:w="108" w:type="dxa"/>
            <w:bottom w:w="0" w:type="dxa"/>
            <w:right w:w="108" w:type="dxa"/>
          </w:tblCellMar>
        </w:tblPrEx>
        <w:trPr>
          <w:trHeight w:val="827" w:hRule="atLeast"/>
        </w:trPr>
        <w:tc>
          <w:tcPr>
            <w:tcW w:w="732" w:type="dxa"/>
            <w:tcBorders>
              <w:top w:val="single" w:color="000000" w:sz="4" w:space="0"/>
              <w:left w:val="single" w:color="000000" w:sz="4" w:space="0"/>
              <w:bottom w:val="single" w:color="000000" w:sz="4" w:space="0"/>
              <w:right w:val="single" w:color="000000" w:sz="4" w:space="0"/>
            </w:tcBorders>
            <w:noWrap/>
            <w:vAlign w:val="center"/>
          </w:tcPr>
          <w:p w14:paraId="41C447E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noWrap/>
            <w:vAlign w:val="center"/>
          </w:tcPr>
          <w:p w14:paraId="0C7D62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智能建造</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1D084D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2026级</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0288CD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61" w:type="dxa"/>
            <w:tcBorders>
              <w:top w:val="single" w:color="000000" w:sz="4" w:space="0"/>
              <w:left w:val="single" w:color="000000" w:sz="4" w:space="0"/>
              <w:bottom w:val="single" w:color="000000" w:sz="4" w:space="0"/>
              <w:right w:val="single" w:color="000000" w:sz="4" w:space="0"/>
            </w:tcBorders>
            <w:noWrap w:val="0"/>
            <w:vAlign w:val="center"/>
          </w:tcPr>
          <w:p w14:paraId="28D3CD3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812" w:type="dxa"/>
            <w:tcBorders>
              <w:top w:val="single" w:color="000000" w:sz="4" w:space="0"/>
              <w:left w:val="single" w:color="000000" w:sz="4" w:space="0"/>
              <w:bottom w:val="single" w:color="000000" w:sz="4" w:space="0"/>
              <w:right w:val="single" w:color="000000" w:sz="4" w:space="0"/>
            </w:tcBorders>
            <w:noWrap/>
            <w:vAlign w:val="center"/>
          </w:tcPr>
          <w:p w14:paraId="489E75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403" w:type="dxa"/>
            <w:tcBorders>
              <w:top w:val="single" w:color="000000" w:sz="4" w:space="0"/>
              <w:left w:val="single" w:color="000000" w:sz="4" w:space="0"/>
              <w:bottom w:val="single" w:color="000000" w:sz="4" w:space="0"/>
              <w:right w:val="single" w:color="000000" w:sz="4" w:space="0"/>
            </w:tcBorders>
            <w:noWrap w:val="0"/>
            <w:vAlign w:val="center"/>
          </w:tcPr>
          <w:p w14:paraId="1407C67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符合学校转专业条件</w:t>
            </w:r>
          </w:p>
        </w:tc>
        <w:tc>
          <w:tcPr>
            <w:tcW w:w="1659" w:type="dxa"/>
            <w:tcBorders>
              <w:top w:val="single" w:color="000000" w:sz="4" w:space="0"/>
              <w:left w:val="single" w:color="000000" w:sz="4" w:space="0"/>
              <w:bottom w:val="single" w:color="000000" w:sz="4" w:space="0"/>
              <w:right w:val="single" w:color="000000" w:sz="4" w:space="0"/>
            </w:tcBorders>
            <w:noWrap w:val="0"/>
            <w:vAlign w:val="center"/>
          </w:tcPr>
          <w:p w14:paraId="30859A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面试考核</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61F0CE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待定，另行通知</w:t>
            </w:r>
          </w:p>
        </w:tc>
      </w:tr>
    </w:tbl>
    <w:p w14:paraId="3A8D343A">
      <w:pPr>
        <w:keepNext w:val="0"/>
        <w:keepLines w:val="0"/>
        <w:widowControl/>
        <w:suppressLineNumbers w:val="0"/>
        <w:spacing w:before="0" w:beforeAutospacing="0" w:after="0" w:afterAutospacing="0" w:line="360" w:lineRule="atLeast"/>
        <w:ind w:left="0" w:right="0"/>
        <w:jc w:val="left"/>
        <w:rPr>
          <w:rFonts w:ascii="宋体" w:hAnsi="宋体" w:eastAsia="宋体" w:cs="宋体"/>
          <w:b w:val="0"/>
          <w:i w:val="0"/>
          <w:strike w:val="0"/>
          <w:color w:val="auto"/>
          <w:kern w:val="0"/>
          <w:sz w:val="24"/>
          <w:szCs w:val="24"/>
          <w:u w:val="none"/>
          <w:lang w:val="en-US" w:eastAsia="zh-CN" w:bidi="ar"/>
        </w:rPr>
      </w:pPr>
    </w:p>
    <w:p w14:paraId="56E768B5">
      <w:pPr>
        <w:pStyle w:val="3"/>
        <w:keepNext w:val="0"/>
        <w:keepLines w:val="0"/>
        <w:widowControl/>
        <w:suppressLineNumbers w:val="0"/>
        <w:spacing w:before="0" w:beforeAutospacing="0" w:after="0" w:afterAutospacing="0" w:line="240" w:lineRule="auto"/>
        <w:ind w:left="0" w:right="0"/>
        <w:jc w:val="both"/>
        <w:rPr>
          <w:rFonts w:hint="eastAsia" w:eastAsia="宋体"/>
          <w:b/>
          <w:i w:val="0"/>
          <w:strike w:val="0"/>
          <w:color w:val="auto"/>
          <w:sz w:val="30"/>
          <w:szCs w:val="30"/>
          <w:u w:val="none"/>
          <w:lang w:val="en-US" w:eastAsia="zh-CN"/>
        </w:rPr>
      </w:pPr>
      <w:r>
        <w:rPr>
          <w:rFonts w:hint="eastAsia" w:eastAsia="宋体"/>
          <w:b/>
          <w:i w:val="0"/>
          <w:strike w:val="0"/>
          <w:color w:val="auto"/>
          <w:sz w:val="30"/>
          <w:szCs w:val="30"/>
          <w:u w:val="none"/>
          <w:lang w:val="en-US" w:eastAsia="zh-CN"/>
        </w:rPr>
        <w:t>四、新生认定类转专业准入硬性条件</w:t>
      </w:r>
    </w:p>
    <w:p w14:paraId="6C2B4712">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28"/>
          <w:szCs w:val="24"/>
          <w:u w:val="none"/>
          <w:lang w:val="en-US" w:eastAsia="zh-CN" w:bidi="ar"/>
        </w:rPr>
      </w:pPr>
      <w:r>
        <w:rPr>
          <w:rFonts w:hint="eastAsia" w:ascii="宋体" w:hAnsi="宋体" w:eastAsia="宋体" w:cs="宋体"/>
          <w:b/>
          <w:bCs/>
          <w:i w:val="0"/>
          <w:strike w:val="0"/>
          <w:color w:val="auto"/>
          <w:kern w:val="0"/>
          <w:sz w:val="28"/>
          <w:szCs w:val="24"/>
          <w:u w:val="none"/>
          <w:lang w:val="en-US" w:eastAsia="zh-CN" w:bidi="ar"/>
        </w:rPr>
        <w:t>（一）校级统一准入规则（须全部满足）</w:t>
      </w:r>
    </w:p>
    <w:p w14:paraId="578926D4">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（1）</w:t>
      </w:r>
      <w:r>
        <w:rPr>
          <w:rFonts w:hint="eastAsia" w:asciiTheme="minorEastAsia" w:hAnsiTheme="minorEastAsia" w:eastAsiaTheme="minorEastAsia" w:cstheme="minorEastAsia"/>
          <w:b w:val="0"/>
          <w:i w:val="0"/>
          <w:strike w:val="0"/>
          <w:color w:val="auto"/>
          <w:kern w:val="0"/>
          <w:sz w:val="24"/>
          <w:szCs w:val="24"/>
          <w:u w:val="none"/>
          <w:lang w:val="en-US" w:eastAsia="zh-CN" w:bidi="ar"/>
        </w:rPr>
        <w:t>分数线限制：学生原录取专业浙江省最低投档分数线高于拟转入建工学院专业投档分数线，分数线以学校招就处提供本省当年招生数据为准；</w:t>
      </w:r>
    </w:p>
    <w:p w14:paraId="38410917">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（2）</w:t>
      </w:r>
      <w:r>
        <w:rPr>
          <w:rFonts w:hint="eastAsia" w:asciiTheme="minorEastAsia" w:hAnsiTheme="minorEastAsia" w:eastAsiaTheme="minorEastAsia" w:cstheme="minorEastAsia"/>
          <w:b w:val="0"/>
          <w:i w:val="0"/>
          <w:strike w:val="0"/>
          <w:color w:val="auto"/>
          <w:kern w:val="0"/>
          <w:sz w:val="24"/>
          <w:szCs w:val="24"/>
          <w:u w:val="none"/>
          <w:lang w:val="en-US" w:eastAsia="zh-CN" w:bidi="ar"/>
        </w:rPr>
        <w:t>学科门类限制：仅允许同一学科门类内转专业，工学、管理学、理学、文学、经济学等不同门类之间不得跨专业申请；</w:t>
      </w:r>
    </w:p>
    <w:p w14:paraId="34976578">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（3）</w:t>
      </w:r>
      <w:r>
        <w:rPr>
          <w:rFonts w:hint="eastAsia" w:asciiTheme="minorEastAsia" w:hAnsiTheme="minorEastAsia" w:eastAsiaTheme="minorEastAsia" w:cstheme="minorEastAsia"/>
          <w:b w:val="0"/>
          <w:i w:val="0"/>
          <w:strike w:val="0"/>
          <w:color w:val="auto"/>
          <w:kern w:val="0"/>
          <w:sz w:val="24"/>
          <w:szCs w:val="24"/>
          <w:u w:val="none"/>
          <w:lang w:val="en-US" w:eastAsia="zh-CN" w:bidi="ar"/>
        </w:rPr>
        <w:t>身体条件限制：无恐高、肢体功能障碍、严重心血管疾病等不适合工程现场实训、野外勘测的身体问题，符合土木类专业实习体检标准；</w:t>
      </w:r>
    </w:p>
    <w:p w14:paraId="5EA9D766">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（4）</w:t>
      </w:r>
      <w:r>
        <w:rPr>
          <w:rFonts w:hint="eastAsia" w:asciiTheme="minorEastAsia" w:hAnsiTheme="minorEastAsia" w:eastAsiaTheme="minorEastAsia" w:cstheme="minorEastAsia"/>
          <w:b w:val="0"/>
          <w:i w:val="0"/>
          <w:strike w:val="0"/>
          <w:color w:val="auto"/>
          <w:kern w:val="0"/>
          <w:sz w:val="24"/>
          <w:szCs w:val="24"/>
          <w:u w:val="none"/>
          <w:lang w:val="en-US" w:eastAsia="zh-CN" w:bidi="ar"/>
        </w:rPr>
        <w:t>特殊招生说明：通过 “三位一体” 录取新生按高考文化成绩核算，无额外限制；</w:t>
      </w:r>
    </w:p>
    <w:p w14:paraId="747AE381">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（5）</w:t>
      </w:r>
      <w:r>
        <w:rPr>
          <w:rFonts w:hint="eastAsia" w:asciiTheme="minorEastAsia" w:hAnsiTheme="minorEastAsia" w:eastAsiaTheme="minorEastAsia" w:cstheme="minorEastAsia"/>
          <w:b w:val="0"/>
          <w:i w:val="0"/>
          <w:strike w:val="0"/>
          <w:color w:val="auto"/>
          <w:kern w:val="0"/>
          <w:sz w:val="24"/>
          <w:szCs w:val="24"/>
          <w:u w:val="none"/>
          <w:lang w:val="en-US" w:eastAsia="zh-CN" w:bidi="ar"/>
        </w:rPr>
        <w:t>禁止转专业情形（满足任意一条不予受理申请）： （1）中本一体化、定向招生、专升本等特殊类型录取学生； （2）身体条件不符合转入专业实习、体检标准； （3）处于休学、保留入学资格、退学预警状态学生； （4）外校转入学生、已完成一次转专业学生； （5）在校存在违纪处分且处分未解除学生。</w:t>
      </w:r>
    </w:p>
    <w:p w14:paraId="2235CFF6">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28"/>
          <w:szCs w:val="24"/>
          <w:u w:val="none"/>
          <w:lang w:val="en-US" w:eastAsia="zh-CN" w:bidi="ar"/>
        </w:rPr>
      </w:pPr>
      <w:r>
        <w:rPr>
          <w:rFonts w:hint="eastAsia" w:ascii="宋体" w:hAnsi="宋体" w:eastAsia="宋体" w:cs="宋体"/>
          <w:b/>
          <w:bCs/>
          <w:i w:val="0"/>
          <w:strike w:val="0"/>
          <w:color w:val="auto"/>
          <w:kern w:val="0"/>
          <w:sz w:val="28"/>
          <w:szCs w:val="24"/>
          <w:u w:val="none"/>
          <w:lang w:val="en-US" w:eastAsia="zh-CN" w:bidi="ar"/>
        </w:rPr>
        <w:t>（二）学院附加管理要求</w:t>
      </w:r>
    </w:p>
    <w:p w14:paraId="04EDAAF7">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（1）</w:t>
      </w:r>
      <w:r>
        <w:rPr>
          <w:rFonts w:hint="eastAsia" w:asciiTheme="minorEastAsia" w:hAnsiTheme="minorEastAsia" w:eastAsiaTheme="minorEastAsia" w:cstheme="minorEastAsia"/>
          <w:b w:val="0"/>
          <w:i w:val="0"/>
          <w:strike w:val="0"/>
          <w:color w:val="auto"/>
          <w:kern w:val="0"/>
          <w:sz w:val="24"/>
          <w:szCs w:val="24"/>
          <w:u w:val="none"/>
          <w:lang w:val="en-US" w:eastAsia="zh-CN" w:bidi="ar"/>
        </w:rPr>
        <w:t>无工程类相关特长不限制申请，具备工程科创、竞赛、实践特长学生可作为面试加分参考；</w:t>
      </w:r>
    </w:p>
    <w:p w14:paraId="0215779A">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（2）</w:t>
      </w:r>
      <w:r>
        <w:rPr>
          <w:rFonts w:hint="eastAsia" w:asciiTheme="minorEastAsia" w:hAnsiTheme="minorEastAsia" w:eastAsiaTheme="minorEastAsia" w:cstheme="minorEastAsia"/>
          <w:b w:val="0"/>
          <w:i w:val="0"/>
          <w:strike w:val="0"/>
          <w:color w:val="auto"/>
          <w:kern w:val="0"/>
          <w:sz w:val="24"/>
          <w:szCs w:val="24"/>
          <w:u w:val="none"/>
          <w:lang w:val="en-US" w:eastAsia="zh-CN" w:bidi="ar"/>
        </w:rPr>
        <w:t>申请人须完全服从学院考核、试读、学分认定、学籍变更等全部管理规定。</w:t>
      </w:r>
    </w:p>
    <w:p w14:paraId="12061A29">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28"/>
          <w:szCs w:val="24"/>
          <w:u w:val="none"/>
          <w:lang w:val="en-US" w:eastAsia="zh-CN" w:bidi="ar"/>
        </w:rPr>
      </w:pPr>
      <w:r>
        <w:rPr>
          <w:rFonts w:hint="eastAsia" w:ascii="宋体" w:hAnsi="宋体" w:eastAsia="宋体" w:cs="宋体"/>
          <w:b/>
          <w:bCs/>
          <w:i w:val="0"/>
          <w:strike w:val="0"/>
          <w:color w:val="auto"/>
          <w:kern w:val="0"/>
          <w:sz w:val="30"/>
          <w:szCs w:val="30"/>
          <w:u w:val="none"/>
          <w:lang w:val="en-US" w:eastAsia="zh-CN" w:bidi="ar"/>
        </w:rPr>
        <w:t>五、转入专业考核实施细则（仅申请人数超出计划名额时开展</w:t>
      </w:r>
      <w:r>
        <w:rPr>
          <w:rFonts w:hint="eastAsia" w:ascii="宋体" w:hAnsi="宋体" w:eastAsia="宋体" w:cs="宋体"/>
          <w:b/>
          <w:bCs/>
          <w:i w:val="0"/>
          <w:strike w:val="0"/>
          <w:color w:val="auto"/>
          <w:kern w:val="0"/>
          <w:sz w:val="28"/>
          <w:szCs w:val="24"/>
          <w:u w:val="none"/>
          <w:lang w:val="en-US" w:eastAsia="zh-CN" w:bidi="ar"/>
        </w:rPr>
        <w:t>）</w:t>
      </w:r>
    </w:p>
    <w:p w14:paraId="70016064">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28"/>
          <w:szCs w:val="24"/>
          <w:u w:val="none"/>
          <w:lang w:val="en-US" w:eastAsia="zh-CN" w:bidi="ar"/>
        </w:rPr>
      </w:pPr>
      <w:r>
        <w:rPr>
          <w:rFonts w:hint="eastAsia" w:ascii="宋体" w:hAnsi="宋体" w:eastAsia="宋体" w:cs="宋体"/>
          <w:b/>
          <w:bCs/>
          <w:i w:val="0"/>
          <w:strike w:val="0"/>
          <w:color w:val="auto"/>
          <w:kern w:val="0"/>
          <w:sz w:val="28"/>
          <w:szCs w:val="24"/>
          <w:u w:val="none"/>
          <w:lang w:val="en-US" w:eastAsia="zh-CN" w:bidi="ar"/>
        </w:rPr>
        <w:t>（一）综合成绩计算规则</w:t>
      </w:r>
    </w:p>
    <w:p w14:paraId="2D58BC17">
      <w:pPr>
        <w:keepNext w:val="0"/>
        <w:keepLines w:val="0"/>
        <w:widowControl/>
        <w:suppressLineNumbers w:val="0"/>
        <w:spacing w:before="0" w:beforeAutospacing="0" w:after="120" w:afterAutospacing="0" w:line="360" w:lineRule="auto"/>
        <w:ind w:left="0" w:leftChars="0" w:right="0" w:rightChars="0" w:firstLine="480" w:firstLineChars="200"/>
        <w:jc w:val="both"/>
        <w:rPr>
          <w:rFonts w:eastAsia="宋体" w:asciiTheme="minorHAnsi" w:hAnsiTheme="minorHAnsi" w:cstheme="minorBidi"/>
          <w:b w:val="0"/>
          <w:i w:val="0"/>
          <w:strike w:val="0"/>
          <w:color w:val="auto"/>
          <w:kern w:val="2"/>
          <w:sz w:val="24"/>
          <w:szCs w:val="24"/>
          <w:u w:val="none"/>
          <w:lang w:val="en-US" w:eastAsia="zh-CN" w:bidi="ar-SA"/>
        </w:rPr>
      </w:pPr>
      <w:r>
        <w:rPr>
          <w:rFonts w:ascii="宋体" w:hAnsi="宋体" w:eastAsia="宋体" w:cs="宋体"/>
          <w:b w:val="0"/>
          <w:i w:val="0"/>
          <w:strike w:val="0"/>
          <w:color w:val="auto"/>
          <w:kern w:val="0"/>
          <w:sz w:val="24"/>
          <w:szCs w:val="24"/>
          <w:u w:val="none"/>
          <w:lang w:val="en-US" w:eastAsia="zh-CN" w:bidi="ar"/>
        </w:rPr>
        <w:t>综合总成绩 = 高考折算成绩×30% + 面试总成绩 ×70%，总分满分 100 分，按照综合成绩从高至低排序择优录取；同分优先对比面试成绩，面试成绩同分再对比高考原始成绩。 若申请人数≤专业计划转入名额，资格审核通过后直接录取，无需组织面试考核。</w:t>
      </w:r>
    </w:p>
    <w:p w14:paraId="46AE28AA">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28"/>
          <w:szCs w:val="24"/>
          <w:u w:val="none"/>
          <w:lang w:val="en-US" w:eastAsia="zh-CN" w:bidi="ar"/>
        </w:rPr>
      </w:pPr>
      <w:r>
        <w:rPr>
          <w:rFonts w:hint="eastAsia" w:ascii="宋体" w:hAnsi="宋体" w:eastAsia="宋体" w:cs="宋体"/>
          <w:b/>
          <w:bCs/>
          <w:i w:val="0"/>
          <w:strike w:val="0"/>
          <w:color w:val="auto"/>
          <w:kern w:val="0"/>
          <w:sz w:val="28"/>
          <w:szCs w:val="24"/>
          <w:u w:val="none"/>
          <w:lang w:val="en-US" w:eastAsia="zh-CN" w:bidi="ar"/>
        </w:rPr>
        <w:t>（二）面试流程（单人总时长 10 分钟）</w:t>
      </w:r>
    </w:p>
    <w:p w14:paraId="20371757">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（1）</w:t>
      </w:r>
      <w:r>
        <w:rPr>
          <w:rFonts w:hint="eastAsia" w:asciiTheme="minorEastAsia" w:hAnsiTheme="minorEastAsia" w:eastAsiaTheme="minorEastAsia" w:cstheme="minorEastAsia"/>
          <w:b w:val="0"/>
          <w:i w:val="0"/>
          <w:strike w:val="0"/>
          <w:color w:val="auto"/>
          <w:kern w:val="0"/>
          <w:sz w:val="24"/>
          <w:szCs w:val="24"/>
          <w:u w:val="none"/>
          <w:lang w:val="en-US" w:eastAsia="zh-CN" w:bidi="ar"/>
        </w:rPr>
        <w:t>个人陈述（3 分钟）：内容包含个人基本情况、原专业报考缘由、申请转入目标专业的核心动机、对目标专业行业、课程、就业方向的认知、个人中长期职业规划、自身适配专业的优势；</w:t>
      </w:r>
    </w:p>
    <w:p w14:paraId="55E253B1">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（2）</w:t>
      </w:r>
      <w:r>
        <w:rPr>
          <w:rFonts w:hint="eastAsia" w:asciiTheme="minorEastAsia" w:hAnsiTheme="minorEastAsia" w:eastAsiaTheme="minorEastAsia" w:cstheme="minorEastAsia"/>
          <w:b w:val="0"/>
          <w:i w:val="0"/>
          <w:strike w:val="0"/>
          <w:color w:val="auto"/>
          <w:kern w:val="0"/>
          <w:sz w:val="24"/>
          <w:szCs w:val="24"/>
          <w:u w:val="none"/>
          <w:lang w:val="en-US" w:eastAsia="zh-CN" w:bidi="ar"/>
        </w:rPr>
        <w:t>考官现场问答（7 分钟）：重点考核学生专业认知、工程行业基础常识、逻辑思维、抗压与吃苦耐劳素养、沟通表达、问题理解能力；</w:t>
      </w:r>
    </w:p>
    <w:p w14:paraId="7580A5FD">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（3）</w:t>
      </w:r>
      <w:r>
        <w:rPr>
          <w:rFonts w:hint="eastAsia" w:asciiTheme="minorEastAsia" w:hAnsiTheme="minorEastAsia" w:eastAsiaTheme="minorEastAsia" w:cstheme="minorEastAsia"/>
          <w:b w:val="0"/>
          <w:i w:val="0"/>
          <w:strike w:val="0"/>
          <w:color w:val="auto"/>
          <w:kern w:val="0"/>
          <w:sz w:val="24"/>
          <w:szCs w:val="24"/>
          <w:u w:val="none"/>
          <w:lang w:val="en-US" w:eastAsia="zh-CN" w:bidi="ar"/>
        </w:rPr>
        <w:t>现场考核要求：学生携带身份证、录取通知书原件，提前 15 分钟到场签到，现场抽签确定面试顺序；未按时到场、无故不参加面试者，直接视为自动放弃转专业资格。</w:t>
      </w:r>
    </w:p>
    <w:p w14:paraId="00C3CAAB">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28"/>
          <w:szCs w:val="24"/>
          <w:u w:val="none"/>
          <w:lang w:val="en-US" w:eastAsia="zh-CN" w:bidi="ar"/>
        </w:rPr>
      </w:pPr>
      <w:r>
        <w:rPr>
          <w:rFonts w:hint="eastAsia" w:ascii="宋体" w:hAnsi="宋体" w:eastAsia="宋体" w:cs="宋体"/>
          <w:b/>
          <w:bCs/>
          <w:i w:val="0"/>
          <w:strike w:val="0"/>
          <w:color w:val="auto"/>
          <w:kern w:val="0"/>
          <w:sz w:val="28"/>
          <w:szCs w:val="24"/>
          <w:u w:val="none"/>
          <w:lang w:val="en-US" w:eastAsia="zh-CN" w:bidi="ar"/>
        </w:rPr>
        <w:t>（三）面试五分制评分标准</w:t>
      </w:r>
    </w:p>
    <w:p w14:paraId="42E3BDE1">
      <w:pPr>
        <w:keepNext w:val="0"/>
        <w:keepLines w:val="0"/>
        <w:widowControl/>
        <w:suppressLineNumbers w:val="0"/>
        <w:spacing w:before="0" w:beforeAutospacing="0" w:after="120" w:afterAutospacing="0" w:line="360" w:lineRule="auto"/>
        <w:ind w:left="0" w:leftChars="0" w:right="0" w:rightChars="0" w:firstLine="480" w:firstLineChars="200"/>
        <w:jc w:val="both"/>
        <w:rPr>
          <w:rFonts w:ascii="宋体" w:hAnsi="宋体" w:eastAsia="宋体" w:cs="宋体"/>
          <w:b w:val="0"/>
          <w:i w:val="0"/>
          <w:strike w:val="0"/>
          <w:color w:val="auto"/>
          <w:kern w:val="0"/>
          <w:sz w:val="24"/>
          <w:szCs w:val="24"/>
          <w:u w:val="none"/>
          <w:lang w:val="en-US" w:eastAsia="zh-CN" w:bidi="ar"/>
        </w:rPr>
      </w:pPr>
      <w:r>
        <w:rPr>
          <w:rFonts w:ascii="宋体" w:hAnsi="宋体" w:eastAsia="宋体" w:cs="宋体"/>
          <w:b w:val="0"/>
          <w:i w:val="0"/>
          <w:strike w:val="0"/>
          <w:color w:val="auto"/>
          <w:kern w:val="0"/>
          <w:sz w:val="24"/>
          <w:szCs w:val="24"/>
          <w:u w:val="none"/>
          <w:lang w:val="en-US" w:eastAsia="zh-CN" w:bidi="ar"/>
        </w:rPr>
        <w:t>面试采用五分制打分，考核小组独立打分后去掉最高分、最低分取平均分作为面试原始成绩，统一折算百分制计入综合总分。</w:t>
      </w:r>
    </w:p>
    <w:p w14:paraId="1638117E">
      <w:pPr>
        <w:keepNext w:val="0"/>
        <w:keepLines w:val="0"/>
        <w:widowControl/>
        <w:suppressLineNumbers w:val="0"/>
        <w:spacing w:before="0" w:beforeAutospacing="0" w:after="120" w:afterAutospacing="0" w:line="360" w:lineRule="auto"/>
        <w:ind w:left="0" w:leftChars="0" w:right="0" w:rightChars="0" w:firstLine="480" w:firstLineChars="200"/>
        <w:jc w:val="center"/>
        <w:rPr>
          <w:rFonts w:hint="eastAsia" w:ascii="宋体" w:hAnsi="宋体" w:eastAsia="宋体" w:cs="宋体"/>
          <w:b w:val="0"/>
          <w:i w:val="0"/>
          <w:strike w:val="0"/>
          <w:color w:val="auto"/>
          <w:kern w:val="0"/>
          <w:sz w:val="24"/>
          <w:szCs w:val="24"/>
          <w:u w:val="none"/>
          <w:lang w:val="en-US" w:eastAsia="zh-CN" w:bidi="ar"/>
        </w:rPr>
      </w:pPr>
      <w:r>
        <w:rPr>
          <w:rFonts w:hint="eastAsia" w:ascii="宋体" w:hAnsi="宋体" w:eastAsia="宋体" w:cs="宋体"/>
          <w:b w:val="0"/>
          <w:i w:val="0"/>
          <w:strike w:val="0"/>
          <w:color w:val="auto"/>
          <w:kern w:val="0"/>
          <w:sz w:val="24"/>
          <w:szCs w:val="24"/>
          <w:u w:val="none"/>
          <w:lang w:val="en-US" w:eastAsia="zh-CN" w:bidi="ar"/>
        </w:rPr>
        <w:t>表2</w:t>
      </w:r>
      <w:r>
        <w:rPr>
          <w:rFonts w:ascii="宋体" w:hAnsi="宋体" w:eastAsia="宋体" w:cs="宋体"/>
          <w:sz w:val="24"/>
          <w:szCs w:val="24"/>
        </w:rPr>
        <w:t>面试五分制评分标准</w:t>
      </w:r>
      <w:r>
        <w:rPr>
          <w:rFonts w:hint="eastAsia" w:ascii="宋体" w:hAnsi="宋体" w:eastAsia="宋体" w:cs="宋体"/>
          <w:sz w:val="24"/>
          <w:szCs w:val="24"/>
          <w:lang w:val="en-US" w:eastAsia="zh-CN"/>
        </w:rPr>
        <w:t>表</w:t>
      </w:r>
    </w:p>
    <w:tbl>
      <w:tblPr>
        <w:tblStyle w:val="6"/>
        <w:tblW w:w="92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1"/>
        <w:gridCol w:w="1309"/>
        <w:gridCol w:w="3843"/>
        <w:gridCol w:w="2325"/>
      </w:tblGrid>
      <w:tr w14:paraId="2870B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821" w:type="dxa"/>
            <w:shd w:val="clear" w:color="auto" w:fill="auto"/>
            <w:vAlign w:val="center"/>
          </w:tcPr>
          <w:p w14:paraId="0FFDD5E0">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测评维度</w:t>
            </w:r>
          </w:p>
        </w:tc>
        <w:tc>
          <w:tcPr>
            <w:tcW w:w="1309" w:type="dxa"/>
            <w:shd w:val="clear" w:color="auto" w:fill="auto"/>
            <w:vAlign w:val="center"/>
          </w:tcPr>
          <w:p w14:paraId="44A21F46">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权重分值</w:t>
            </w:r>
          </w:p>
        </w:tc>
        <w:tc>
          <w:tcPr>
            <w:tcW w:w="3843" w:type="dxa"/>
            <w:shd w:val="clear" w:color="auto" w:fill="auto"/>
            <w:vAlign w:val="center"/>
          </w:tcPr>
          <w:p w14:paraId="40C14A38">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观测要点</w:t>
            </w:r>
          </w:p>
        </w:tc>
        <w:tc>
          <w:tcPr>
            <w:tcW w:w="2325" w:type="dxa"/>
            <w:shd w:val="clear" w:color="auto" w:fill="auto"/>
            <w:vAlign w:val="center"/>
          </w:tcPr>
          <w:p w14:paraId="54DA4B75">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000000"/>
                <w:kern w:val="2"/>
                <w:sz w:val="24"/>
                <w:szCs w:val="24"/>
                <w:lang w:val="en-US" w:eastAsia="zh-CN" w:bidi="ar-SA"/>
              </w:rPr>
            </w:pPr>
            <w:r>
              <w:rPr>
                <w:rFonts w:ascii="宋体" w:hAnsi="宋体" w:eastAsia="宋体" w:cs="宋体"/>
                <w:b/>
                <w:bCs/>
                <w:color w:val="000000"/>
                <w:kern w:val="0"/>
                <w:sz w:val="24"/>
                <w:szCs w:val="24"/>
                <w:lang w:val="en-US" w:eastAsia="zh-CN" w:bidi="ar"/>
              </w:rPr>
              <w:t>分级评分标准</w:t>
            </w:r>
          </w:p>
        </w:tc>
      </w:tr>
      <w:tr w14:paraId="3278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1821" w:type="dxa"/>
            <w:shd w:val="clear" w:color="auto" w:fill="auto"/>
            <w:vAlign w:val="center"/>
          </w:tcPr>
          <w:p w14:paraId="519011FB">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专业兴趣</w:t>
            </w:r>
          </w:p>
        </w:tc>
        <w:tc>
          <w:tcPr>
            <w:tcW w:w="1309" w:type="dxa"/>
            <w:shd w:val="clear" w:color="auto" w:fill="auto"/>
            <w:vAlign w:val="center"/>
          </w:tcPr>
          <w:p w14:paraId="0C328C1A">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2 分</w:t>
            </w:r>
          </w:p>
        </w:tc>
        <w:tc>
          <w:tcPr>
            <w:tcW w:w="3843" w:type="dxa"/>
            <w:shd w:val="clear" w:color="auto" w:fill="auto"/>
            <w:vAlign w:val="center"/>
          </w:tcPr>
          <w:p w14:paraId="5E3FE1D8">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土木 / 造价 / 智能建造行业认知、专业学习意愿、行业职业理想</w:t>
            </w:r>
          </w:p>
        </w:tc>
        <w:tc>
          <w:tcPr>
            <w:tcW w:w="2325" w:type="dxa"/>
            <w:shd w:val="clear" w:color="auto" w:fill="auto"/>
            <w:vAlign w:val="center"/>
          </w:tcPr>
          <w:p w14:paraId="1C5CE6D1">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优：1.6-2 分；中：1.2-1.6 分；差：0-1.2 分</w:t>
            </w:r>
          </w:p>
        </w:tc>
      </w:tr>
      <w:tr w14:paraId="1DE6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1821" w:type="dxa"/>
            <w:shd w:val="clear" w:color="auto" w:fill="auto"/>
            <w:vAlign w:val="center"/>
          </w:tcPr>
          <w:p w14:paraId="34009E26">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学习能力</w:t>
            </w:r>
          </w:p>
        </w:tc>
        <w:tc>
          <w:tcPr>
            <w:tcW w:w="1309" w:type="dxa"/>
            <w:shd w:val="clear" w:color="auto" w:fill="auto"/>
            <w:vAlign w:val="center"/>
          </w:tcPr>
          <w:p w14:paraId="43549B2E">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1 分</w:t>
            </w:r>
          </w:p>
        </w:tc>
        <w:tc>
          <w:tcPr>
            <w:tcW w:w="3843" w:type="dxa"/>
            <w:shd w:val="clear" w:color="auto" w:fill="auto"/>
            <w:vAlign w:val="center"/>
          </w:tcPr>
          <w:p w14:paraId="0910C326">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逻辑思维、理解能力、空间想象力、数理基础感知、观察力</w:t>
            </w:r>
          </w:p>
        </w:tc>
        <w:tc>
          <w:tcPr>
            <w:tcW w:w="2325" w:type="dxa"/>
            <w:shd w:val="clear" w:color="auto" w:fill="auto"/>
            <w:vAlign w:val="center"/>
          </w:tcPr>
          <w:p w14:paraId="11AC8DC4">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优：0.8-1 分；中：0.6-0.8 分；差：0-0.6 分</w:t>
            </w:r>
          </w:p>
        </w:tc>
      </w:tr>
      <w:tr w14:paraId="7D14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1821" w:type="dxa"/>
            <w:shd w:val="clear" w:color="auto" w:fill="auto"/>
            <w:vAlign w:val="center"/>
          </w:tcPr>
          <w:p w14:paraId="48EAF42E">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身心人文素质</w:t>
            </w:r>
          </w:p>
        </w:tc>
        <w:tc>
          <w:tcPr>
            <w:tcW w:w="1309" w:type="dxa"/>
            <w:shd w:val="clear" w:color="auto" w:fill="auto"/>
            <w:vAlign w:val="center"/>
          </w:tcPr>
          <w:p w14:paraId="7BAF4A5A">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1 分</w:t>
            </w:r>
          </w:p>
        </w:tc>
        <w:tc>
          <w:tcPr>
            <w:tcW w:w="3843" w:type="dxa"/>
            <w:shd w:val="clear" w:color="auto" w:fill="auto"/>
            <w:vAlign w:val="center"/>
          </w:tcPr>
          <w:p w14:paraId="504D4ED4">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言行举止、情绪管控、吃苦耐劳意识、工程安全人文常识</w:t>
            </w:r>
          </w:p>
        </w:tc>
        <w:tc>
          <w:tcPr>
            <w:tcW w:w="2325" w:type="dxa"/>
            <w:shd w:val="clear" w:color="auto" w:fill="auto"/>
            <w:vAlign w:val="center"/>
          </w:tcPr>
          <w:p w14:paraId="15E63A51">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优：0.8-1 分；中：0.6-0.8 分；差：0-0.6 分</w:t>
            </w:r>
          </w:p>
        </w:tc>
      </w:tr>
      <w:tr w14:paraId="7C98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1821" w:type="dxa"/>
            <w:shd w:val="clear" w:color="auto" w:fill="auto"/>
            <w:vAlign w:val="center"/>
          </w:tcPr>
          <w:p w14:paraId="40586F4F">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语言文字表达</w:t>
            </w:r>
          </w:p>
        </w:tc>
        <w:tc>
          <w:tcPr>
            <w:tcW w:w="1309" w:type="dxa"/>
            <w:shd w:val="clear" w:color="auto" w:fill="auto"/>
            <w:vAlign w:val="center"/>
          </w:tcPr>
          <w:p w14:paraId="3E95320A">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1 分</w:t>
            </w:r>
          </w:p>
        </w:tc>
        <w:tc>
          <w:tcPr>
            <w:tcW w:w="3843" w:type="dxa"/>
            <w:shd w:val="clear" w:color="auto" w:fill="auto"/>
            <w:vAlign w:val="center"/>
          </w:tcPr>
          <w:p w14:paraId="16286718">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语言条理、表述准确、逻辑清晰、申请表文字规范程度</w:t>
            </w:r>
          </w:p>
        </w:tc>
        <w:tc>
          <w:tcPr>
            <w:tcW w:w="2325" w:type="dxa"/>
            <w:shd w:val="clear" w:color="auto" w:fill="auto"/>
            <w:vAlign w:val="center"/>
          </w:tcPr>
          <w:p w14:paraId="023C956F">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000000"/>
                <w:kern w:val="2"/>
                <w:sz w:val="24"/>
                <w:szCs w:val="24"/>
                <w:lang w:val="en-US" w:eastAsia="zh-CN" w:bidi="ar-SA"/>
              </w:rPr>
            </w:pPr>
            <w:r>
              <w:rPr>
                <w:rFonts w:ascii="宋体" w:hAnsi="宋体" w:eastAsia="宋体" w:cs="宋体"/>
                <w:color w:val="000000"/>
                <w:kern w:val="0"/>
                <w:sz w:val="24"/>
                <w:szCs w:val="24"/>
                <w:lang w:val="en-US" w:eastAsia="zh-CN" w:bidi="ar"/>
              </w:rPr>
              <w:t>优：0.8-1 分；中：0.6-0.8 分；差：0-0.6 分</w:t>
            </w:r>
          </w:p>
        </w:tc>
      </w:tr>
    </w:tbl>
    <w:p w14:paraId="0A90EEDA">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28"/>
          <w:szCs w:val="24"/>
          <w:u w:val="none"/>
          <w:lang w:val="en-US" w:eastAsia="zh-CN" w:bidi="ar"/>
        </w:rPr>
      </w:pPr>
    </w:p>
    <w:p w14:paraId="700E8896">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28"/>
          <w:szCs w:val="24"/>
          <w:u w:val="none"/>
          <w:lang w:val="en-US" w:eastAsia="zh-CN" w:bidi="ar"/>
        </w:rPr>
      </w:pPr>
      <w:r>
        <w:rPr>
          <w:rFonts w:hint="eastAsia" w:ascii="宋体" w:hAnsi="宋体" w:eastAsia="宋体" w:cs="宋体"/>
          <w:b/>
          <w:bCs/>
          <w:i w:val="0"/>
          <w:strike w:val="0"/>
          <w:color w:val="auto"/>
          <w:kern w:val="0"/>
          <w:sz w:val="28"/>
          <w:szCs w:val="24"/>
          <w:u w:val="none"/>
          <w:lang w:val="en-US" w:eastAsia="zh-CN" w:bidi="ar"/>
        </w:rPr>
        <w:t>（四）申请提交材料清单</w:t>
      </w:r>
    </w:p>
    <w:p w14:paraId="58568CDA">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（1）</w:t>
      </w:r>
      <w:r>
        <w:rPr>
          <w:rFonts w:hint="eastAsia" w:asciiTheme="minorEastAsia" w:hAnsiTheme="minorEastAsia" w:eastAsiaTheme="minorEastAsia" w:cstheme="minorEastAsia"/>
          <w:b w:val="0"/>
          <w:i w:val="0"/>
          <w:strike w:val="0"/>
          <w:color w:val="auto"/>
          <w:kern w:val="0"/>
          <w:sz w:val="24"/>
          <w:szCs w:val="24"/>
          <w:u w:val="none"/>
          <w:lang w:val="en-US" w:eastAsia="zh-CN" w:bidi="ar"/>
        </w:rPr>
        <w:t>《浙江水利水电学院学生转专业申请表》（教务处统一模板）；</w:t>
      </w:r>
    </w:p>
    <w:p w14:paraId="49C6FB07">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（2）</w:t>
      </w:r>
      <w:r>
        <w:rPr>
          <w:rFonts w:hint="eastAsia" w:asciiTheme="minorEastAsia" w:hAnsiTheme="minorEastAsia" w:eastAsiaTheme="minorEastAsia" w:cstheme="minorEastAsia"/>
          <w:b w:val="0"/>
          <w:i w:val="0"/>
          <w:strike w:val="0"/>
          <w:color w:val="auto"/>
          <w:kern w:val="0"/>
          <w:sz w:val="24"/>
          <w:szCs w:val="24"/>
          <w:u w:val="none"/>
          <w:lang w:val="en-US" w:eastAsia="zh-CN" w:bidi="ar"/>
        </w:rPr>
        <w:t>高考成绩证明（招就处打印盖章）；</w:t>
      </w:r>
    </w:p>
    <w:p w14:paraId="09F8A204">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（3）</w:t>
      </w:r>
      <w:r>
        <w:rPr>
          <w:rFonts w:hint="eastAsia" w:asciiTheme="minorEastAsia" w:hAnsiTheme="minorEastAsia" w:eastAsiaTheme="minorEastAsia" w:cstheme="minorEastAsia"/>
          <w:b w:val="0"/>
          <w:i w:val="0"/>
          <w:strike w:val="0"/>
          <w:color w:val="auto"/>
          <w:kern w:val="0"/>
          <w:sz w:val="24"/>
          <w:szCs w:val="24"/>
          <w:u w:val="none"/>
          <w:lang w:val="en-US" w:eastAsia="zh-CN" w:bidi="ar"/>
        </w:rPr>
        <w:t>特长佐证材料（工程竞赛、科创成果、相关作品等，自愿提交）。</w:t>
      </w:r>
    </w:p>
    <w:p w14:paraId="28EE0343">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30"/>
          <w:szCs w:val="30"/>
          <w:u w:val="none"/>
          <w:lang w:val="en-US" w:eastAsia="zh-CN" w:bidi="ar"/>
        </w:rPr>
      </w:pPr>
      <w:r>
        <w:rPr>
          <w:rFonts w:hint="eastAsia" w:ascii="宋体" w:hAnsi="宋体" w:eastAsia="宋体" w:cs="宋体"/>
          <w:b/>
          <w:bCs/>
          <w:i w:val="0"/>
          <w:strike w:val="0"/>
          <w:color w:val="auto"/>
          <w:kern w:val="0"/>
          <w:sz w:val="30"/>
          <w:szCs w:val="30"/>
          <w:u w:val="none"/>
          <w:lang w:val="en-US" w:eastAsia="zh-CN" w:bidi="ar"/>
        </w:rPr>
        <w:t>六、录取与公示流程</w:t>
      </w:r>
    </w:p>
    <w:p w14:paraId="47DB9EC0">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（1）</w:t>
      </w:r>
      <w:r>
        <w:rPr>
          <w:rFonts w:hint="eastAsia" w:asciiTheme="minorEastAsia" w:hAnsiTheme="minorEastAsia" w:eastAsiaTheme="minorEastAsia" w:cstheme="minorEastAsia"/>
          <w:b w:val="0"/>
          <w:i w:val="0"/>
          <w:strike w:val="0"/>
          <w:color w:val="auto"/>
          <w:kern w:val="0"/>
          <w:sz w:val="24"/>
          <w:szCs w:val="24"/>
          <w:u w:val="none"/>
          <w:lang w:val="en-US" w:eastAsia="zh-CN" w:bidi="ar"/>
        </w:rPr>
        <w:t>资格初审：学院工作小组核查学生分数线、学科门类、身体、学籍处分等硬性条件，不合格直接淘汰并告知学生；</w:t>
      </w:r>
    </w:p>
    <w:p w14:paraId="6E1E1B2F">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（2）</w:t>
      </w:r>
      <w:r>
        <w:rPr>
          <w:rFonts w:hint="eastAsia" w:asciiTheme="minorEastAsia" w:hAnsiTheme="minorEastAsia" w:eastAsiaTheme="minorEastAsia" w:cstheme="minorEastAsia"/>
          <w:b w:val="0"/>
          <w:i w:val="0"/>
          <w:strike w:val="0"/>
          <w:color w:val="auto"/>
          <w:kern w:val="0"/>
          <w:sz w:val="24"/>
          <w:szCs w:val="24"/>
          <w:u w:val="none"/>
          <w:lang w:val="en-US" w:eastAsia="zh-CN" w:bidi="ar"/>
        </w:rPr>
        <w:t>考核排序：超计划专业按综合成绩降序排名，按计划名额划定拟录取名单；同分优先对比面试成绩，面试同分再对比高考成绩；</w:t>
      </w:r>
    </w:p>
    <w:p w14:paraId="438449F4">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（3）</w:t>
      </w:r>
      <w:r>
        <w:rPr>
          <w:rFonts w:hint="eastAsia" w:asciiTheme="minorEastAsia" w:hAnsiTheme="minorEastAsia" w:eastAsiaTheme="minorEastAsia" w:cstheme="minorEastAsia"/>
          <w:b w:val="0"/>
          <w:i w:val="0"/>
          <w:strike w:val="0"/>
          <w:color w:val="auto"/>
          <w:kern w:val="0"/>
          <w:sz w:val="24"/>
          <w:szCs w:val="24"/>
          <w:u w:val="none"/>
          <w:lang w:val="en-US" w:eastAsia="zh-CN" w:bidi="ar"/>
        </w:rPr>
        <w:t>教务处审批：公示无异议后，汇总全部拟转入学生材料报送教务处，提交校转专业工作小组审定；</w:t>
      </w:r>
    </w:p>
    <w:p w14:paraId="5A2DD6E9">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（4）</w:t>
      </w:r>
      <w:r>
        <w:rPr>
          <w:rFonts w:hint="eastAsia" w:asciiTheme="minorEastAsia" w:hAnsiTheme="minorEastAsia" w:eastAsiaTheme="minorEastAsia" w:cstheme="minorEastAsia"/>
          <w:b w:val="0"/>
          <w:i w:val="0"/>
          <w:strike w:val="0"/>
          <w:color w:val="auto"/>
          <w:kern w:val="0"/>
          <w:sz w:val="24"/>
          <w:szCs w:val="24"/>
          <w:u w:val="none"/>
          <w:lang w:val="en-US" w:eastAsia="zh-CN" w:bidi="ar"/>
        </w:rPr>
        <w:t>试读管理：教务处发文后，新生进入目标专业</w:t>
      </w:r>
      <w:r>
        <w:rPr>
          <w:rFonts w:hint="eastAsia" w:asciiTheme="minorEastAsia" w:hAnsiTheme="minorEastAsia" w:eastAsiaTheme="minorEastAsia" w:cstheme="minorEastAsia"/>
          <w:b/>
          <w:bCs/>
          <w:i w:val="0"/>
          <w:strike w:val="0"/>
          <w:color w:val="auto"/>
          <w:kern w:val="0"/>
          <w:sz w:val="24"/>
          <w:szCs w:val="24"/>
          <w:u w:val="none"/>
          <w:lang w:val="en-US" w:eastAsia="zh-CN" w:bidi="ar"/>
        </w:rPr>
        <w:t>1</w:t>
      </w:r>
      <w:r>
        <w:rPr>
          <w:rFonts w:hint="eastAsia" w:asciiTheme="minorEastAsia" w:hAnsiTheme="minorEastAsia" w:eastAsiaTheme="minorEastAsia" w:cstheme="minorEastAsia"/>
          <w:b w:val="0"/>
          <w:i w:val="0"/>
          <w:strike w:val="0"/>
          <w:color w:val="auto"/>
          <w:kern w:val="0"/>
          <w:sz w:val="24"/>
          <w:szCs w:val="24"/>
          <w:u w:val="none"/>
          <w:lang w:val="en-US" w:eastAsia="zh-CN" w:bidi="ar"/>
        </w:rPr>
        <w:t>周试读期；试读期间不适应可书面申请退回原专业，退回后终身不得再次申请转专业；</w:t>
      </w:r>
    </w:p>
    <w:p w14:paraId="1AE05014">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（5）</w:t>
      </w:r>
      <w:r>
        <w:rPr>
          <w:rFonts w:hint="eastAsia" w:asciiTheme="minorEastAsia" w:hAnsiTheme="minorEastAsia" w:eastAsiaTheme="minorEastAsia" w:cstheme="minorEastAsia"/>
          <w:b w:val="0"/>
          <w:i w:val="0"/>
          <w:strike w:val="0"/>
          <w:color w:val="auto"/>
          <w:kern w:val="0"/>
          <w:sz w:val="24"/>
          <w:szCs w:val="24"/>
          <w:u w:val="none"/>
          <w:lang w:val="en-US" w:eastAsia="zh-CN" w:bidi="ar"/>
        </w:rPr>
        <w:t>学籍变更：学校发文5个工作日内，学院统一办理学分认定、课程置换、课程补修安排。</w:t>
      </w:r>
    </w:p>
    <w:p w14:paraId="1B53FE47">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30"/>
          <w:szCs w:val="30"/>
          <w:u w:val="none"/>
          <w:lang w:val="en-US" w:eastAsia="zh-CN" w:bidi="ar"/>
        </w:rPr>
      </w:pPr>
      <w:r>
        <w:rPr>
          <w:rFonts w:hint="eastAsia" w:ascii="宋体" w:hAnsi="宋体" w:eastAsia="宋体" w:cs="宋体"/>
          <w:b/>
          <w:bCs/>
          <w:i w:val="0"/>
          <w:strike w:val="0"/>
          <w:color w:val="auto"/>
          <w:kern w:val="0"/>
          <w:sz w:val="30"/>
          <w:szCs w:val="30"/>
          <w:u w:val="none"/>
          <w:lang w:val="en-US" w:eastAsia="zh-CN" w:bidi="ar"/>
        </w:rPr>
        <w:t>七、特殊类型新生转专业绿色通道（不占用转入计划名额）</w:t>
      </w:r>
    </w:p>
    <w:p w14:paraId="5A07BC66">
      <w:pPr>
        <w:keepNext w:val="0"/>
        <w:keepLines w:val="0"/>
        <w:widowControl/>
        <w:suppressLineNumbers w:val="0"/>
        <w:spacing w:before="0" w:beforeAutospacing="0" w:after="120" w:afterAutospacing="0" w:line="360" w:lineRule="auto"/>
        <w:ind w:left="0" w:leftChars="0" w:right="0" w:rightChars="0" w:firstLine="480" w:firstLineChars="200"/>
        <w:jc w:val="both"/>
        <w:rPr>
          <w:rFonts w:eastAsia="宋体" w:asciiTheme="minorHAnsi" w:hAnsiTheme="minorHAnsi" w:cstheme="minorBidi"/>
          <w:b w:val="0"/>
          <w:i w:val="0"/>
          <w:strike w:val="0"/>
          <w:color w:val="auto"/>
          <w:kern w:val="2"/>
          <w:sz w:val="24"/>
          <w:szCs w:val="24"/>
          <w:u w:val="none"/>
          <w:lang w:val="en-US" w:eastAsia="zh-CN" w:bidi="ar-SA"/>
        </w:rPr>
      </w:pPr>
      <w:r>
        <w:rPr>
          <w:rFonts w:ascii="宋体" w:hAnsi="宋体" w:eastAsia="宋体" w:cs="宋体"/>
          <w:b w:val="0"/>
          <w:i w:val="0"/>
          <w:strike w:val="0"/>
          <w:color w:val="auto"/>
          <w:kern w:val="0"/>
          <w:sz w:val="24"/>
          <w:szCs w:val="24"/>
          <w:u w:val="none"/>
          <w:lang w:val="en-US" w:eastAsia="zh-CN" w:bidi="ar"/>
        </w:rPr>
        <w:t>满足以下条件并提供完整证明材料，经学院、教务处审核可优先转入，不受分数线、考核排名限制：</w:t>
      </w:r>
    </w:p>
    <w:p w14:paraId="64CB1F29">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ajorEastAsia" w:hAnsiTheme="majorEastAsia" w:eastAsiaTheme="majorEastAsia" w:cstheme="majorEastAsia"/>
          <w:b w:val="0"/>
          <w:i w:val="0"/>
          <w:strike w:val="0"/>
          <w:color w:val="auto"/>
          <w:kern w:val="2"/>
          <w:sz w:val="24"/>
          <w:szCs w:val="24"/>
          <w:u w:val="none"/>
          <w:lang w:val="en-US" w:eastAsia="zh-CN" w:bidi="ar-SA"/>
        </w:rPr>
      </w:pPr>
      <w:r>
        <w:rPr>
          <w:rFonts w:hint="eastAsia" w:asciiTheme="majorEastAsia" w:hAnsiTheme="majorEastAsia" w:eastAsiaTheme="majorEastAsia" w:cstheme="majorEastAsia"/>
          <w:b w:val="0"/>
          <w:i w:val="0"/>
          <w:strike w:val="0"/>
          <w:color w:val="auto"/>
          <w:kern w:val="2"/>
          <w:sz w:val="24"/>
          <w:szCs w:val="24"/>
          <w:lang w:val="en-US" w:eastAsia="zh-CN" w:bidi="ar-SA"/>
        </w:rPr>
        <w:t>（1）</w:t>
      </w:r>
      <w:r>
        <w:rPr>
          <w:rFonts w:hint="eastAsia" w:asciiTheme="majorEastAsia" w:hAnsiTheme="majorEastAsia" w:eastAsiaTheme="majorEastAsia" w:cstheme="majorEastAsia"/>
          <w:b w:val="0"/>
          <w:i w:val="0"/>
          <w:strike w:val="0"/>
          <w:color w:val="auto"/>
          <w:kern w:val="0"/>
          <w:sz w:val="24"/>
          <w:szCs w:val="24"/>
          <w:u w:val="none"/>
          <w:lang w:val="en-US" w:eastAsia="zh-CN" w:bidi="ar"/>
        </w:rPr>
        <w:t>学校卓越人才专项培养新生；</w:t>
      </w:r>
    </w:p>
    <w:p w14:paraId="623B5F87">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ajorEastAsia" w:hAnsiTheme="majorEastAsia" w:eastAsiaTheme="majorEastAsia" w:cstheme="majorEastAsia"/>
          <w:b w:val="0"/>
          <w:i w:val="0"/>
          <w:strike w:val="0"/>
          <w:color w:val="auto"/>
          <w:kern w:val="2"/>
          <w:sz w:val="24"/>
          <w:szCs w:val="24"/>
          <w:u w:val="none"/>
          <w:lang w:val="en-US" w:eastAsia="zh-CN" w:bidi="ar-SA"/>
        </w:rPr>
      </w:pPr>
      <w:r>
        <w:rPr>
          <w:rFonts w:hint="eastAsia" w:asciiTheme="majorEastAsia" w:hAnsiTheme="majorEastAsia" w:eastAsiaTheme="majorEastAsia" w:cstheme="majorEastAsia"/>
          <w:b w:val="0"/>
          <w:i w:val="0"/>
          <w:strike w:val="0"/>
          <w:color w:val="auto"/>
          <w:kern w:val="2"/>
          <w:sz w:val="24"/>
          <w:szCs w:val="24"/>
          <w:lang w:val="en-US" w:eastAsia="zh-CN" w:bidi="ar-SA"/>
        </w:rPr>
        <w:t>（2）</w:t>
      </w:r>
      <w:r>
        <w:rPr>
          <w:rFonts w:hint="eastAsia" w:asciiTheme="majorEastAsia" w:hAnsiTheme="majorEastAsia" w:eastAsiaTheme="majorEastAsia" w:cstheme="majorEastAsia"/>
          <w:b w:val="0"/>
          <w:i w:val="0"/>
          <w:strike w:val="0"/>
          <w:color w:val="auto"/>
          <w:kern w:val="0"/>
          <w:sz w:val="24"/>
          <w:szCs w:val="24"/>
          <w:u w:val="none"/>
          <w:lang w:val="en-US" w:eastAsia="zh-CN" w:bidi="ar"/>
        </w:rPr>
        <w:t>经校指定医院诊断，存在疾病 / 生理缺陷无法就读原专业，但适合土木建工类专业；</w:t>
      </w:r>
    </w:p>
    <w:p w14:paraId="43F861FA">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ajorEastAsia" w:hAnsiTheme="majorEastAsia" w:eastAsiaTheme="majorEastAsia" w:cstheme="majorEastAsia"/>
          <w:b w:val="0"/>
          <w:i w:val="0"/>
          <w:strike w:val="0"/>
          <w:color w:val="auto"/>
          <w:kern w:val="2"/>
          <w:sz w:val="24"/>
          <w:szCs w:val="24"/>
          <w:u w:val="none"/>
          <w:lang w:val="en-US" w:eastAsia="zh-CN" w:bidi="ar-SA"/>
        </w:rPr>
      </w:pPr>
      <w:r>
        <w:rPr>
          <w:rFonts w:hint="eastAsia" w:asciiTheme="majorEastAsia" w:hAnsiTheme="majorEastAsia" w:eastAsiaTheme="majorEastAsia" w:cstheme="majorEastAsia"/>
          <w:b w:val="0"/>
          <w:i w:val="0"/>
          <w:strike w:val="0"/>
          <w:color w:val="auto"/>
          <w:kern w:val="2"/>
          <w:sz w:val="24"/>
          <w:szCs w:val="24"/>
          <w:lang w:val="en-US" w:eastAsia="zh-CN" w:bidi="ar-SA"/>
        </w:rPr>
        <w:t>（3）</w:t>
      </w:r>
      <w:r>
        <w:rPr>
          <w:rFonts w:hint="eastAsia" w:asciiTheme="majorEastAsia" w:hAnsiTheme="majorEastAsia" w:eastAsiaTheme="majorEastAsia" w:cstheme="majorEastAsia"/>
          <w:b w:val="0"/>
          <w:i w:val="0"/>
          <w:strike w:val="0"/>
          <w:color w:val="auto"/>
          <w:kern w:val="0"/>
          <w:sz w:val="24"/>
          <w:szCs w:val="24"/>
          <w:u w:val="none"/>
          <w:lang w:val="en-US" w:eastAsia="zh-CN" w:bidi="ar"/>
        </w:rPr>
        <w:t>退役复学 2026 级新生；</w:t>
      </w:r>
    </w:p>
    <w:p w14:paraId="2D9CE1A3">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eastAsia="宋体" w:asciiTheme="minorHAnsi" w:hAnsiTheme="minorHAnsi" w:cstheme="minorBidi"/>
          <w:b w:val="0"/>
          <w:i w:val="0"/>
          <w:strike w:val="0"/>
          <w:color w:val="auto"/>
          <w:kern w:val="2"/>
          <w:sz w:val="24"/>
          <w:szCs w:val="24"/>
          <w:u w:val="none"/>
          <w:lang w:val="en-US" w:eastAsia="zh-CN" w:bidi="ar-SA"/>
        </w:rPr>
      </w:pPr>
      <w:r>
        <w:rPr>
          <w:rFonts w:hint="eastAsia" w:asciiTheme="majorEastAsia" w:hAnsiTheme="majorEastAsia" w:eastAsiaTheme="majorEastAsia" w:cstheme="majorEastAsia"/>
          <w:b w:val="0"/>
          <w:i w:val="0"/>
          <w:strike w:val="0"/>
          <w:color w:val="auto"/>
          <w:kern w:val="2"/>
          <w:sz w:val="24"/>
          <w:szCs w:val="24"/>
          <w:lang w:val="en-US" w:eastAsia="zh-CN" w:bidi="ar-SA"/>
        </w:rPr>
        <w:t>（4）</w:t>
      </w:r>
      <w:r>
        <w:rPr>
          <w:rFonts w:hint="eastAsia" w:asciiTheme="majorEastAsia" w:hAnsiTheme="majorEastAsia" w:eastAsiaTheme="majorEastAsia" w:cstheme="majorEastAsia"/>
          <w:b w:val="0"/>
          <w:i w:val="0"/>
          <w:strike w:val="0"/>
          <w:color w:val="auto"/>
          <w:kern w:val="0"/>
          <w:sz w:val="24"/>
          <w:szCs w:val="24"/>
          <w:u w:val="none"/>
          <w:lang w:val="en-US" w:eastAsia="zh-CN" w:bidi="ar"/>
        </w:rPr>
        <w:t>具备专业特长（满足其一）： 1.第一作者公开出版工程类专著； 2.独立 / 一作发</w:t>
      </w:r>
      <w:r>
        <w:rPr>
          <w:rFonts w:ascii="宋体" w:hAnsi="宋体" w:eastAsia="宋体" w:cs="宋体"/>
          <w:b w:val="0"/>
          <w:i w:val="0"/>
          <w:strike w:val="0"/>
          <w:color w:val="auto"/>
          <w:kern w:val="0"/>
          <w:sz w:val="24"/>
          <w:szCs w:val="24"/>
          <w:u w:val="none"/>
          <w:lang w:val="en-US" w:eastAsia="zh-CN" w:bidi="ar"/>
        </w:rPr>
        <w:t>表 C7-2 及以上学术论文；</w:t>
      </w:r>
      <w:r>
        <w:rPr>
          <w:rFonts w:hint="eastAsia" w:ascii="宋体" w:hAnsi="宋体" w:eastAsia="宋体" w:cs="宋体"/>
          <w:b w:val="0"/>
          <w:i w:val="0"/>
          <w:strike w:val="0"/>
          <w:color w:val="auto"/>
          <w:kern w:val="0"/>
          <w:sz w:val="24"/>
          <w:szCs w:val="24"/>
          <w:u w:val="none"/>
          <w:lang w:val="en-US" w:eastAsia="zh-CN" w:bidi="ar"/>
        </w:rPr>
        <w:t>3.</w:t>
      </w:r>
      <w:r>
        <w:rPr>
          <w:rFonts w:ascii="宋体" w:hAnsi="宋体" w:eastAsia="宋体" w:cs="宋体"/>
          <w:b w:val="0"/>
          <w:i w:val="0"/>
          <w:strike w:val="0"/>
          <w:color w:val="auto"/>
          <w:kern w:val="0"/>
          <w:sz w:val="24"/>
          <w:szCs w:val="24"/>
          <w:u w:val="none"/>
          <w:lang w:val="en-US" w:eastAsia="zh-CN" w:bidi="ar"/>
        </w:rPr>
        <w:t xml:space="preserve">排名第一获省级 A 类学科竞赛一等奖； </w:t>
      </w:r>
      <w:r>
        <w:rPr>
          <w:rFonts w:hint="eastAsia" w:ascii="宋体" w:hAnsi="宋体" w:eastAsia="宋体" w:cs="宋体"/>
          <w:b w:val="0"/>
          <w:i w:val="0"/>
          <w:strike w:val="0"/>
          <w:color w:val="auto"/>
          <w:kern w:val="0"/>
          <w:sz w:val="24"/>
          <w:szCs w:val="24"/>
          <w:u w:val="none"/>
          <w:lang w:val="en-US" w:eastAsia="zh-CN" w:bidi="ar"/>
        </w:rPr>
        <w:t>4.</w:t>
      </w:r>
      <w:r>
        <w:rPr>
          <w:rFonts w:ascii="宋体" w:hAnsi="宋体" w:eastAsia="宋体" w:cs="宋体"/>
          <w:b w:val="0"/>
          <w:i w:val="0"/>
          <w:strike w:val="0"/>
          <w:color w:val="auto"/>
          <w:kern w:val="0"/>
          <w:sz w:val="24"/>
          <w:szCs w:val="24"/>
          <w:u w:val="none"/>
          <w:lang w:val="en-US" w:eastAsia="zh-CN" w:bidi="ar"/>
        </w:rPr>
        <w:t>排名第一取得 C13-1 级别以上应用型科创成果。</w:t>
      </w:r>
    </w:p>
    <w:p w14:paraId="1E1228F5">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30"/>
          <w:szCs w:val="30"/>
          <w:u w:val="none"/>
          <w:lang w:val="en-US" w:eastAsia="zh-CN" w:bidi="ar"/>
        </w:rPr>
      </w:pPr>
      <w:r>
        <w:rPr>
          <w:rFonts w:hint="eastAsia" w:ascii="宋体" w:hAnsi="宋体" w:eastAsia="宋体" w:cs="宋体"/>
          <w:b/>
          <w:bCs/>
          <w:i w:val="0"/>
          <w:strike w:val="0"/>
          <w:color w:val="auto"/>
          <w:kern w:val="0"/>
          <w:sz w:val="30"/>
          <w:szCs w:val="30"/>
          <w:u w:val="none"/>
          <w:lang w:val="en-US" w:eastAsia="zh-CN" w:bidi="ar"/>
        </w:rPr>
        <w:t>八、纪律与违规处理</w:t>
      </w:r>
    </w:p>
    <w:p w14:paraId="4EBBD07D">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（1）</w:t>
      </w:r>
      <w:r>
        <w:rPr>
          <w:rFonts w:hint="eastAsia" w:asciiTheme="minorEastAsia" w:hAnsiTheme="minorEastAsia" w:eastAsiaTheme="minorEastAsia" w:cstheme="minorEastAsia"/>
          <w:b w:val="0"/>
          <w:i w:val="0"/>
          <w:strike w:val="0"/>
          <w:color w:val="auto"/>
          <w:kern w:val="0"/>
          <w:sz w:val="24"/>
          <w:szCs w:val="24"/>
          <w:u w:val="none"/>
          <w:lang w:val="en-US" w:eastAsia="zh-CN" w:bidi="ar"/>
        </w:rPr>
        <w:t>考核全程严禁作弊、代考、伪造高考成绩、竞赛、医疗证明等材料；</w:t>
      </w:r>
    </w:p>
    <w:p w14:paraId="7C60EB7C">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（2）</w:t>
      </w:r>
      <w:r>
        <w:rPr>
          <w:rFonts w:hint="eastAsia" w:asciiTheme="minorEastAsia" w:hAnsiTheme="minorEastAsia" w:eastAsiaTheme="minorEastAsia" w:cstheme="minorEastAsia"/>
          <w:b w:val="0"/>
          <w:i w:val="0"/>
          <w:strike w:val="0"/>
          <w:color w:val="auto"/>
          <w:kern w:val="0"/>
          <w:sz w:val="24"/>
          <w:szCs w:val="24"/>
          <w:u w:val="none"/>
          <w:lang w:val="en-US" w:eastAsia="zh-CN" w:bidi="ar"/>
        </w:rPr>
        <w:t>学生提供虚假材料，直接取消转专业资格，记入学生诚信档案；</w:t>
      </w:r>
    </w:p>
    <w:p w14:paraId="73D573E7">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（3）</w:t>
      </w:r>
      <w:r>
        <w:rPr>
          <w:rFonts w:hint="eastAsia" w:asciiTheme="minorEastAsia" w:hAnsiTheme="minorEastAsia" w:eastAsiaTheme="minorEastAsia" w:cstheme="minorEastAsia"/>
          <w:b w:val="0"/>
          <w:i w:val="0"/>
          <w:strike w:val="0"/>
          <w:color w:val="auto"/>
          <w:kern w:val="0"/>
          <w:sz w:val="24"/>
          <w:szCs w:val="24"/>
          <w:u w:val="none"/>
          <w:lang w:val="en-US" w:eastAsia="zh-CN" w:bidi="ar"/>
        </w:rPr>
        <w:t>工作人员存在打分偏袒、泄露考核相关内容、徇私等违规行为，学院上报学校依规追责。</w:t>
      </w:r>
    </w:p>
    <w:p w14:paraId="1E47D091">
      <w:pPr>
        <w:keepNext w:val="0"/>
        <w:keepLines w:val="0"/>
        <w:widowControl/>
        <w:suppressLineNumbers w:val="0"/>
        <w:spacing w:before="0" w:beforeAutospacing="0" w:after="0" w:afterAutospacing="0" w:line="240" w:lineRule="auto"/>
        <w:ind w:left="0" w:leftChars="0" w:right="0" w:rightChars="0"/>
        <w:jc w:val="both"/>
        <w:outlineLvl w:val="1"/>
        <w:rPr>
          <w:rFonts w:hint="eastAsia" w:ascii="宋体" w:hAnsi="宋体" w:eastAsia="宋体" w:cs="宋体"/>
          <w:b/>
          <w:bCs/>
          <w:i w:val="0"/>
          <w:strike w:val="0"/>
          <w:color w:val="auto"/>
          <w:kern w:val="0"/>
          <w:sz w:val="30"/>
          <w:szCs w:val="30"/>
          <w:u w:val="none"/>
          <w:lang w:val="en-US" w:eastAsia="zh-CN" w:bidi="ar"/>
        </w:rPr>
      </w:pPr>
      <w:r>
        <w:rPr>
          <w:rFonts w:hint="eastAsia" w:ascii="宋体" w:hAnsi="宋体" w:eastAsia="宋体" w:cs="宋体"/>
          <w:b/>
          <w:bCs/>
          <w:i w:val="0"/>
          <w:strike w:val="0"/>
          <w:color w:val="auto"/>
          <w:kern w:val="0"/>
          <w:sz w:val="30"/>
          <w:szCs w:val="30"/>
          <w:u w:val="none"/>
          <w:lang w:val="en-US" w:eastAsia="zh-CN" w:bidi="ar"/>
        </w:rPr>
        <w:t>九、其他说明</w:t>
      </w:r>
    </w:p>
    <w:p w14:paraId="5CB3466C">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hint="eastAsia" w:asciiTheme="minorEastAsia" w:hAnsiTheme="minorEastAsia" w:eastAsiaTheme="minorEastAsia" w:cstheme="minorEastAsia"/>
          <w:b w:val="0"/>
          <w:i w:val="0"/>
          <w:strike w:val="0"/>
          <w:color w:val="auto"/>
          <w:kern w:val="2"/>
          <w:sz w:val="24"/>
          <w:szCs w:val="24"/>
          <w:u w:val="none"/>
          <w:lang w:val="en-US" w:eastAsia="zh-CN" w:bidi="ar-SA"/>
        </w:rPr>
      </w:pPr>
      <w:r>
        <w:rPr>
          <w:rFonts w:hint="eastAsia" w:asciiTheme="minorEastAsia" w:hAnsiTheme="minorEastAsia" w:eastAsiaTheme="minorEastAsia" w:cstheme="minorEastAsia"/>
          <w:b w:val="0"/>
          <w:i w:val="0"/>
          <w:strike w:val="0"/>
          <w:color w:val="auto"/>
          <w:kern w:val="2"/>
          <w:sz w:val="24"/>
          <w:szCs w:val="24"/>
          <w:lang w:val="en-US" w:eastAsia="zh-CN" w:bidi="ar-SA"/>
        </w:rPr>
        <w:t>（1）</w:t>
      </w:r>
      <w:r>
        <w:rPr>
          <w:rFonts w:hint="eastAsia" w:asciiTheme="minorEastAsia" w:hAnsiTheme="minorEastAsia" w:eastAsiaTheme="minorEastAsia" w:cstheme="minorEastAsia"/>
          <w:b w:val="0"/>
          <w:i w:val="0"/>
          <w:strike w:val="0"/>
          <w:color w:val="auto"/>
          <w:kern w:val="0"/>
          <w:sz w:val="24"/>
          <w:szCs w:val="24"/>
          <w:u w:val="none"/>
          <w:lang w:val="en-US" w:eastAsia="zh-CN" w:bidi="ar"/>
        </w:rPr>
        <w:t>考核具体日期、教室、通知渠道，学院将在新生入学教育阶段另行发布；</w:t>
      </w:r>
    </w:p>
    <w:p w14:paraId="167F700E">
      <w:pPr>
        <w:keepNext w:val="0"/>
        <w:keepLines w:val="0"/>
        <w:widowControl/>
        <w:numPr>
          <w:ilvl w:val="0"/>
          <w:numId w:val="0"/>
        </w:numPr>
        <w:suppressLineNumbers w:val="0"/>
        <w:spacing w:before="0" w:beforeAutospacing="0" w:after="120" w:afterAutospacing="0" w:line="360" w:lineRule="auto"/>
        <w:ind w:left="480" w:leftChars="0" w:right="0" w:rightChars="0" w:hanging="480" w:hangingChars="200"/>
        <w:jc w:val="both"/>
        <w:rPr>
          <w:rFonts w:ascii="宋体" w:hAnsi="宋体" w:eastAsia="宋体" w:cs="宋体"/>
          <w:b w:val="0"/>
          <w:i w:val="0"/>
          <w:strike w:val="0"/>
          <w:color w:val="auto"/>
          <w:kern w:val="0"/>
          <w:sz w:val="24"/>
          <w:szCs w:val="24"/>
          <w:u w:val="none"/>
          <w:lang w:val="en-US" w:eastAsia="zh-CN" w:bidi="ar"/>
        </w:rPr>
      </w:pPr>
      <w:r>
        <w:rPr>
          <w:rFonts w:hint="eastAsia" w:asciiTheme="minorEastAsia" w:hAnsiTheme="minorEastAsia" w:eastAsiaTheme="minorEastAsia" w:cstheme="minorEastAsia"/>
          <w:b w:val="0"/>
          <w:i w:val="0"/>
          <w:strike w:val="0"/>
          <w:color w:val="auto"/>
          <w:kern w:val="2"/>
          <w:sz w:val="24"/>
          <w:szCs w:val="24"/>
          <w:lang w:val="en-US" w:eastAsia="zh-CN" w:bidi="ar-SA"/>
        </w:rPr>
        <w:t>（2）</w:t>
      </w:r>
      <w:r>
        <w:rPr>
          <w:rFonts w:hint="eastAsia" w:asciiTheme="minorEastAsia" w:hAnsiTheme="minorEastAsia" w:eastAsiaTheme="minorEastAsia" w:cstheme="minorEastAsia"/>
          <w:b w:val="0"/>
          <w:i w:val="0"/>
          <w:strike w:val="0"/>
          <w:color w:val="auto"/>
          <w:kern w:val="0"/>
          <w:sz w:val="24"/>
          <w:szCs w:val="24"/>
          <w:u w:val="none"/>
          <w:lang w:val="en-US" w:eastAsia="zh-CN" w:bidi="ar"/>
        </w:rPr>
        <w:t>本方案未尽事宜，按照《浙江水利水电学院本科生转专业管理办法（试行）》执行，由建筑工程学院转专业工作小组负责解释。</w:t>
      </w:r>
    </w:p>
    <w:p w14:paraId="09BA6CE8">
      <w:pPr>
        <w:keepNext w:val="0"/>
        <w:keepLines w:val="0"/>
        <w:widowControl/>
        <w:numPr>
          <w:ilvl w:val="0"/>
          <w:numId w:val="0"/>
        </w:numPr>
        <w:suppressLineNumbers w:val="0"/>
        <w:spacing w:before="0" w:beforeAutospacing="0" w:after="120" w:afterAutospacing="0" w:line="360" w:lineRule="auto"/>
        <w:ind w:leftChars="200" w:right="0" w:rightChars="0"/>
        <w:jc w:val="right"/>
        <w:rPr>
          <w:rFonts w:ascii="宋体" w:hAnsi="宋体" w:eastAsia="宋体" w:cs="宋体"/>
          <w:b w:val="0"/>
          <w:i w:val="0"/>
          <w:strike w:val="0"/>
          <w:color w:val="auto"/>
          <w:kern w:val="0"/>
          <w:sz w:val="24"/>
          <w:szCs w:val="24"/>
          <w:u w:val="none"/>
          <w:lang w:val="en-US" w:eastAsia="zh-CN" w:bidi="ar"/>
        </w:rPr>
      </w:pPr>
      <w:r>
        <w:rPr>
          <w:rFonts w:ascii="宋体" w:hAnsi="宋体" w:eastAsia="宋体" w:cs="宋体"/>
          <w:b w:val="0"/>
          <w:i w:val="0"/>
          <w:strike w:val="0"/>
          <w:color w:val="auto"/>
          <w:kern w:val="0"/>
          <w:sz w:val="24"/>
          <w:szCs w:val="24"/>
          <w:u w:val="none"/>
          <w:lang w:val="en-US" w:eastAsia="zh-CN" w:bidi="ar"/>
        </w:rPr>
        <w:t>建筑工程学院</w:t>
      </w:r>
    </w:p>
    <w:p w14:paraId="2BC8AC12">
      <w:pPr>
        <w:keepNext w:val="0"/>
        <w:keepLines w:val="0"/>
        <w:widowControl/>
        <w:numPr>
          <w:ilvl w:val="0"/>
          <w:numId w:val="0"/>
        </w:numPr>
        <w:suppressLineNumbers w:val="0"/>
        <w:spacing w:before="0" w:beforeAutospacing="0" w:after="120" w:afterAutospacing="0" w:line="360" w:lineRule="auto"/>
        <w:ind w:leftChars="200" w:right="0" w:rightChars="0"/>
        <w:jc w:val="right"/>
      </w:pPr>
      <w:r>
        <w:rPr>
          <w:rFonts w:ascii="宋体" w:hAnsi="宋体" w:eastAsia="宋体" w:cs="宋体"/>
          <w:b w:val="0"/>
          <w:i w:val="0"/>
          <w:strike w:val="0"/>
          <w:color w:val="auto"/>
          <w:kern w:val="0"/>
          <w:sz w:val="24"/>
          <w:szCs w:val="24"/>
          <w:u w:val="none"/>
          <w:lang w:val="en-US" w:eastAsia="zh-CN" w:bidi="ar"/>
        </w:rPr>
        <w:t xml:space="preserve"> 2026 年 </w:t>
      </w:r>
      <w:r>
        <w:rPr>
          <w:rFonts w:hint="eastAsia" w:ascii="宋体" w:hAnsi="宋体" w:eastAsia="宋体" w:cs="宋体"/>
          <w:b w:val="0"/>
          <w:i w:val="0"/>
          <w:strike w:val="0"/>
          <w:color w:val="auto"/>
          <w:kern w:val="0"/>
          <w:sz w:val="24"/>
          <w:szCs w:val="24"/>
          <w:u w:val="none"/>
          <w:lang w:val="en-US" w:eastAsia="zh-CN" w:bidi="ar"/>
        </w:rPr>
        <w:t>6</w:t>
      </w:r>
      <w:r>
        <w:rPr>
          <w:rFonts w:ascii="宋体" w:hAnsi="宋体" w:eastAsia="宋体" w:cs="宋体"/>
          <w:b w:val="0"/>
          <w:i w:val="0"/>
          <w:strike w:val="0"/>
          <w:color w:val="auto"/>
          <w:kern w:val="0"/>
          <w:sz w:val="24"/>
          <w:szCs w:val="24"/>
          <w:u w:val="none"/>
          <w:lang w:val="en-US" w:eastAsia="zh-CN" w:bidi="ar"/>
        </w:rPr>
        <w:t>月</w:t>
      </w:r>
      <w:r>
        <w:rPr>
          <w:rFonts w:hint="eastAsia" w:ascii="宋体" w:hAnsi="宋体" w:eastAsia="宋体" w:cs="宋体"/>
          <w:b w:val="0"/>
          <w:i w:val="0"/>
          <w:strike w:val="0"/>
          <w:color w:val="auto"/>
          <w:kern w:val="0"/>
          <w:sz w:val="24"/>
          <w:szCs w:val="24"/>
          <w:u w:val="none"/>
          <w:lang w:val="en-US" w:eastAsia="zh-CN" w:bidi="ar"/>
        </w:rPr>
        <w:t>30</w:t>
      </w:r>
      <w:r>
        <w:rPr>
          <w:rFonts w:ascii="宋体" w:hAnsi="宋体" w:eastAsia="宋体" w:cs="宋体"/>
          <w:b w:val="0"/>
          <w:i w:val="0"/>
          <w:strike w:val="0"/>
          <w:color w:val="auto"/>
          <w:kern w:val="0"/>
          <w:sz w:val="24"/>
          <w:szCs w:val="24"/>
          <w:u w:val="none"/>
          <w:lang w:val="en-US" w:eastAsia="zh-CN" w:bidi="ar"/>
        </w:rPr>
        <w:t xml:space="preserve">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KSOF20C6EC42">
    <w:panose1 w:val="020F070403050403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310399"/>
    <w:rsid w:val="00826C78"/>
    <w:rsid w:val="0227136C"/>
    <w:rsid w:val="063876A4"/>
    <w:rsid w:val="131B45D5"/>
    <w:rsid w:val="14F055ED"/>
    <w:rsid w:val="1E391DB3"/>
    <w:rsid w:val="1EF06916"/>
    <w:rsid w:val="1F3A2287"/>
    <w:rsid w:val="2D937732"/>
    <w:rsid w:val="39893797"/>
    <w:rsid w:val="3A920D71"/>
    <w:rsid w:val="3B8B3748"/>
    <w:rsid w:val="41310399"/>
    <w:rsid w:val="445C453A"/>
    <w:rsid w:val="4D243AAB"/>
    <w:rsid w:val="4D36558C"/>
    <w:rsid w:val="4FBF3F5F"/>
    <w:rsid w:val="55246584"/>
    <w:rsid w:val="5B0647F0"/>
    <w:rsid w:val="625C563D"/>
    <w:rsid w:val="63E609A9"/>
    <w:rsid w:val="6B275ADE"/>
    <w:rsid w:val="6C7D068A"/>
    <w:rsid w:val="6C8B2DA7"/>
    <w:rsid w:val="6C924135"/>
    <w:rsid w:val="702B176E"/>
    <w:rsid w:val="74D80B53"/>
    <w:rsid w:val="750B7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2854</Words>
  <Characters>2996</Characters>
  <Lines>0</Lines>
  <Paragraphs>0</Paragraphs>
  <TotalTime>944</TotalTime>
  <ScaleCrop>false</ScaleCrop>
  <LinksUpToDate>false</LinksUpToDate>
  <CharactersWithSpaces>3084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2026-07-02T08:27:00Z</dcterms:created>
  <dc:creator>楠雄de姐姐</dc:creator>
  <cp:lastModifiedBy>楠雄de姐姐</cp:lastModifiedBy>
  <dcterms:modified xsi:type="dcterms:W3CDTF">2026-07-03T01:12:37Z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9B1B21ABC9314859B694CD70B62B8B61_11</vt:lpwstr>
  </property>
  <property fmtid="{D5CDD505-2E9C-101B-9397-08002B2CF9AE}" pid="4" name="KSOTemplateDocerSaveRecord">
    <vt:lpwstr>eyJoZGlkIjoiZjBmYmNjOWM0MTc2ZTViN2JlYTI2ZjI2MGU4ZjI5MDgiLCJ1c2VySWQiOiI1MDMxNTIyNjEifQ==</vt:lpwstr>
  </property>
</Properties>
</file>